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E2A60" w:rsidP="2D8747A5" w:rsidRDefault="007E2A60" w14:paraId="28A16A60" w14:textId="4410A525">
      <w:pPr>
        <w:jc w:val="center"/>
      </w:pPr>
      <w:r w:rsidR="392CBAE1">
        <w:drawing>
          <wp:inline wp14:editId="034CD9FA" wp14:anchorId="4AA96190">
            <wp:extent cx="1009650" cy="752475"/>
            <wp:effectExtent l="0" t="0" r="0" b="0"/>
            <wp:docPr id="258787727" name="" descr="QMU Logo | Brand Guidelines | Queen Margaret University" title=""/>
            <wp:cNvGraphicFramePr>
              <a:graphicFrameLocks noChangeAspect="1"/>
            </wp:cNvGraphicFramePr>
            <a:graphic>
              <a:graphicData uri="http://schemas.openxmlformats.org/drawingml/2006/picture">
                <pic:pic>
                  <pic:nvPicPr>
                    <pic:cNvPr id="0" name=""/>
                    <pic:cNvPicPr/>
                  </pic:nvPicPr>
                  <pic:blipFill>
                    <a:blip r:embed="R28db1d18fead4c1b">
                      <a:extLst>
                        <a:ext xmlns:a="http://schemas.openxmlformats.org/drawingml/2006/main" uri="{28A0092B-C50C-407E-A947-70E740481C1C}">
                          <a14:useLocalDpi val="0"/>
                        </a:ext>
                      </a:extLst>
                    </a:blip>
                    <a:stretch>
                      <a:fillRect/>
                    </a:stretch>
                  </pic:blipFill>
                  <pic:spPr>
                    <a:xfrm>
                      <a:off x="0" y="0"/>
                      <a:ext cx="1009650" cy="752475"/>
                    </a:xfrm>
                    <a:prstGeom prst="rect">
                      <a:avLst/>
                    </a:prstGeom>
                  </pic:spPr>
                </pic:pic>
              </a:graphicData>
            </a:graphic>
          </wp:inline>
        </w:drawing>
      </w:r>
      <w:r>
        <w:br/>
      </w:r>
    </w:p>
    <w:p w:rsidR="007E2A60" w:rsidP="2D8747A5" w:rsidRDefault="007E2A60" w14:paraId="25BDF838" w14:textId="5F34074C">
      <w:pPr>
        <w:jc w:val="center"/>
        <w:rPr>
          <w:rFonts w:ascii="Arial" w:hAnsi="Arial" w:cs="Arial"/>
        </w:rPr>
      </w:pPr>
      <w:r w:rsidRPr="2D8747A5" w:rsidR="007E2A60">
        <w:rPr>
          <w:rFonts w:ascii="Arial" w:hAnsi="Arial" w:cs="Arial"/>
        </w:rPr>
        <w:t>Cause for Concern (</w:t>
      </w:r>
      <w:r w:rsidRPr="2D8747A5" w:rsidR="007E2A60">
        <w:rPr>
          <w:rFonts w:ascii="Arial" w:hAnsi="Arial" w:cs="Arial"/>
        </w:rPr>
        <w:t>CfC</w:t>
      </w:r>
      <w:r w:rsidRPr="2D8747A5" w:rsidR="007E2A60">
        <w:rPr>
          <w:rFonts w:ascii="Arial" w:hAnsi="Arial" w:cs="Arial"/>
        </w:rPr>
        <w:t>) Process</w:t>
      </w:r>
      <w:r w:rsidRPr="2D8747A5" w:rsidR="007E2A60">
        <w:rPr>
          <w:rFonts w:ascii="Arial" w:hAnsi="Arial" w:cs="Arial"/>
        </w:rPr>
        <w:t>:</w:t>
      </w:r>
    </w:p>
    <w:p w:rsidRPr="007E2A60" w:rsidR="007E2A60" w:rsidP="007E2A60" w:rsidRDefault="007E2A60" w14:paraId="2D900B49" w14:textId="77777777">
      <w:pPr>
        <w:jc w:val="both"/>
        <w:rPr>
          <w:rFonts w:ascii="Arial" w:hAnsi="Arial" w:cs="Arial"/>
        </w:rPr>
      </w:pPr>
    </w:p>
    <w:tbl>
      <w:tblPr>
        <w:tblStyle w:val="TableGrid"/>
        <w:tblW w:w="9918" w:type="dxa"/>
        <w:tblInd w:w="-495" w:type="dxa"/>
        <w:tblLook w:val="04A0" w:firstRow="1" w:lastRow="0" w:firstColumn="1" w:lastColumn="0" w:noHBand="0" w:noVBand="1"/>
      </w:tblPr>
      <w:tblGrid>
        <w:gridCol w:w="1844"/>
        <w:gridCol w:w="8074"/>
      </w:tblGrid>
      <w:tr w:rsidRPr="007E2A60" w:rsidR="007E2A60" w:rsidTr="007E2A60" w14:paraId="7ACBEE72" w14:textId="77777777">
        <w:tc>
          <w:tcPr>
            <w:tcW w:w="1844" w:type="dxa"/>
          </w:tcPr>
          <w:p w:rsidRPr="007E2A60" w:rsidR="007E2A60" w:rsidP="007E2A60" w:rsidRDefault="007E2A60" w14:paraId="7EB11E1E" w14:textId="298FE093">
            <w:pPr>
              <w:rPr>
                <w:rFonts w:ascii="Arial" w:hAnsi="Arial" w:cs="Arial"/>
                <w:sz w:val="22"/>
                <w:szCs w:val="22"/>
              </w:rPr>
            </w:pPr>
            <w:r w:rsidRPr="007E2A60">
              <w:rPr>
                <w:rFonts w:ascii="Arial" w:hAnsi="Arial" w:cs="Arial"/>
                <w:sz w:val="22"/>
                <w:szCs w:val="22"/>
              </w:rPr>
              <w:t xml:space="preserve">Timing of </w:t>
            </w:r>
            <w:proofErr w:type="spellStart"/>
            <w:r w:rsidRPr="007E2A60">
              <w:rPr>
                <w:rFonts w:ascii="Arial" w:hAnsi="Arial" w:cs="Arial"/>
                <w:sz w:val="22"/>
                <w:szCs w:val="22"/>
              </w:rPr>
              <w:t>CfC</w:t>
            </w:r>
            <w:proofErr w:type="spellEnd"/>
          </w:p>
        </w:tc>
        <w:tc>
          <w:tcPr>
            <w:tcW w:w="8074" w:type="dxa"/>
          </w:tcPr>
          <w:p w:rsidRPr="007E2A60" w:rsidR="007E2A60" w:rsidP="007E2A60" w:rsidRDefault="007E2A60" w14:paraId="3DA26291" w14:textId="77777777">
            <w:pPr>
              <w:rPr>
                <w:rFonts w:ascii="Arial" w:hAnsi="Arial" w:cs="Arial"/>
                <w:sz w:val="22"/>
                <w:szCs w:val="22"/>
              </w:rPr>
            </w:pPr>
            <w:r w:rsidRPr="007E2A60">
              <w:rPr>
                <w:rFonts w:ascii="Arial" w:hAnsi="Arial" w:cs="Arial"/>
                <w:sz w:val="22"/>
                <w:szCs w:val="22"/>
              </w:rPr>
              <w:t xml:space="preserve">A </w:t>
            </w:r>
            <w:proofErr w:type="spellStart"/>
            <w:r w:rsidRPr="007E2A60">
              <w:rPr>
                <w:rFonts w:ascii="Arial" w:hAnsi="Arial" w:cs="Arial"/>
                <w:sz w:val="22"/>
                <w:szCs w:val="22"/>
              </w:rPr>
              <w:t>CfC</w:t>
            </w:r>
            <w:proofErr w:type="spellEnd"/>
            <w:r w:rsidRPr="007E2A60">
              <w:rPr>
                <w:rFonts w:ascii="Arial" w:hAnsi="Arial" w:cs="Arial"/>
                <w:sz w:val="22"/>
                <w:szCs w:val="22"/>
              </w:rPr>
              <w:t xml:space="preserve"> can be raised at any point during a placement as a school sees fit. </w:t>
            </w:r>
          </w:p>
          <w:p w:rsidRPr="007E2A60" w:rsidR="007E2A60" w:rsidP="007E2A60" w:rsidRDefault="007E2A60" w14:paraId="4D36D8DD" w14:textId="77777777">
            <w:pPr>
              <w:rPr>
                <w:rFonts w:ascii="Arial" w:hAnsi="Arial" w:cs="Arial"/>
                <w:sz w:val="22"/>
                <w:szCs w:val="22"/>
              </w:rPr>
            </w:pPr>
          </w:p>
        </w:tc>
      </w:tr>
      <w:tr w:rsidRPr="007E2A60" w:rsidR="007E2A60" w:rsidTr="007E2A60" w14:paraId="6F17B4E5" w14:textId="77777777">
        <w:tc>
          <w:tcPr>
            <w:tcW w:w="1844" w:type="dxa"/>
          </w:tcPr>
          <w:p w:rsidRPr="007E2A60" w:rsidR="007E2A60" w:rsidP="007E2A60" w:rsidRDefault="007E2A60" w14:paraId="24C4C77E" w14:textId="0FA72931">
            <w:pPr>
              <w:rPr>
                <w:rFonts w:ascii="Arial" w:hAnsi="Arial" w:cs="Arial"/>
                <w:sz w:val="22"/>
                <w:szCs w:val="22"/>
              </w:rPr>
            </w:pPr>
            <w:r w:rsidRPr="007E2A60">
              <w:rPr>
                <w:rFonts w:ascii="Arial" w:hAnsi="Arial" w:cs="Arial"/>
                <w:sz w:val="22"/>
                <w:szCs w:val="22"/>
              </w:rPr>
              <w:t>Midway Review</w:t>
            </w:r>
          </w:p>
        </w:tc>
        <w:tc>
          <w:tcPr>
            <w:tcW w:w="8074" w:type="dxa"/>
          </w:tcPr>
          <w:p w:rsidRPr="007E2A60" w:rsidR="007E2A60" w:rsidP="007E2A60" w:rsidRDefault="007E2A60" w14:paraId="19AC3B55" w14:textId="77777777">
            <w:pPr>
              <w:rPr>
                <w:rFonts w:ascii="Arial" w:hAnsi="Arial" w:cs="Arial"/>
                <w:sz w:val="22"/>
                <w:szCs w:val="22"/>
              </w:rPr>
            </w:pPr>
            <w:r w:rsidRPr="007E2A60">
              <w:rPr>
                <w:rFonts w:ascii="Arial" w:hAnsi="Arial" w:cs="Arial"/>
                <w:sz w:val="22"/>
                <w:szCs w:val="22"/>
              </w:rPr>
              <w:t xml:space="preserve">SBE completes with student. </w:t>
            </w:r>
          </w:p>
          <w:p w:rsidRPr="007E2A60" w:rsidR="007E2A60" w:rsidP="007E2A60" w:rsidRDefault="007E2A60" w14:paraId="7F6CD982" w14:textId="77777777">
            <w:pPr>
              <w:rPr>
                <w:rFonts w:ascii="Arial" w:hAnsi="Arial" w:cs="Arial"/>
                <w:sz w:val="22"/>
                <w:szCs w:val="22"/>
              </w:rPr>
            </w:pPr>
            <w:r w:rsidRPr="007E2A60">
              <w:rPr>
                <w:rFonts w:ascii="Arial" w:hAnsi="Arial" w:cs="Arial"/>
                <w:sz w:val="22"/>
                <w:szCs w:val="22"/>
              </w:rPr>
              <w:t xml:space="preserve">SBE to tick as ‘On track’ (where expected at midway point), </w:t>
            </w:r>
          </w:p>
          <w:p w:rsidRPr="007E2A60" w:rsidR="007E2A60" w:rsidP="007E2A60" w:rsidRDefault="007E2A60" w14:paraId="0DE141D2" w14:textId="77777777">
            <w:pPr>
              <w:rPr>
                <w:rFonts w:ascii="Arial" w:hAnsi="Arial" w:cs="Arial"/>
                <w:sz w:val="22"/>
                <w:szCs w:val="22"/>
              </w:rPr>
            </w:pPr>
            <w:r w:rsidRPr="007E2A60">
              <w:rPr>
                <w:rFonts w:ascii="Arial" w:hAnsi="Arial" w:cs="Arial"/>
                <w:sz w:val="22"/>
                <w:szCs w:val="22"/>
              </w:rPr>
              <w:t xml:space="preserve">‘Not yet on track’ (needs more time but not a </w:t>
            </w:r>
            <w:proofErr w:type="spellStart"/>
            <w:r w:rsidRPr="007E2A60">
              <w:rPr>
                <w:rFonts w:ascii="Arial" w:hAnsi="Arial" w:cs="Arial"/>
                <w:sz w:val="22"/>
                <w:szCs w:val="22"/>
              </w:rPr>
              <w:t>CfC</w:t>
            </w:r>
            <w:proofErr w:type="spellEnd"/>
            <w:r w:rsidRPr="007E2A60">
              <w:rPr>
                <w:rFonts w:ascii="Arial" w:hAnsi="Arial" w:cs="Arial"/>
                <w:sz w:val="22"/>
                <w:szCs w:val="22"/>
              </w:rPr>
              <w:t xml:space="preserve"> at this point – UBEs should contact SBE to discuss and offer support)</w:t>
            </w:r>
          </w:p>
          <w:p w:rsidRPr="007E2A60" w:rsidR="007E2A60" w:rsidP="007E2A60" w:rsidRDefault="007E2A60" w14:paraId="15A6D6DB" w14:textId="77777777">
            <w:pPr>
              <w:rPr>
                <w:rFonts w:ascii="Arial" w:hAnsi="Arial" w:cs="Arial"/>
                <w:sz w:val="22"/>
                <w:szCs w:val="22"/>
              </w:rPr>
            </w:pPr>
            <w:r w:rsidRPr="007E2A60">
              <w:rPr>
                <w:rFonts w:ascii="Arial" w:hAnsi="Arial" w:cs="Arial"/>
                <w:sz w:val="22"/>
                <w:szCs w:val="22"/>
              </w:rPr>
              <w:t xml:space="preserve">‘Concern – early visit required (please contact UBE)’. (SBEs who tick the final box should contact the UBE to discuss – and UBE can then support to raise a formal </w:t>
            </w:r>
            <w:proofErr w:type="spellStart"/>
            <w:r w:rsidRPr="007E2A60">
              <w:rPr>
                <w:rFonts w:ascii="Arial" w:hAnsi="Arial" w:cs="Arial"/>
                <w:sz w:val="22"/>
                <w:szCs w:val="22"/>
              </w:rPr>
              <w:t>CfC</w:t>
            </w:r>
            <w:proofErr w:type="spellEnd"/>
            <w:r w:rsidRPr="007E2A60">
              <w:rPr>
                <w:rFonts w:ascii="Arial" w:hAnsi="Arial" w:cs="Arial"/>
                <w:sz w:val="22"/>
                <w:szCs w:val="22"/>
              </w:rPr>
              <w:t>).</w:t>
            </w:r>
          </w:p>
          <w:p w:rsidRPr="007E2A60" w:rsidR="007E2A60" w:rsidP="007E2A60" w:rsidRDefault="007E2A60" w14:paraId="3C8D4090" w14:textId="77777777">
            <w:pPr>
              <w:rPr>
                <w:rFonts w:ascii="Arial" w:hAnsi="Arial" w:cs="Arial"/>
                <w:sz w:val="22"/>
                <w:szCs w:val="22"/>
              </w:rPr>
            </w:pPr>
            <w:r w:rsidRPr="007E2A60">
              <w:rPr>
                <w:rFonts w:ascii="Arial" w:hAnsi="Arial" w:cs="Arial"/>
                <w:sz w:val="22"/>
                <w:szCs w:val="22"/>
              </w:rPr>
              <w:t>Early visit should then be arranged asap.</w:t>
            </w:r>
          </w:p>
          <w:p w:rsidRPr="007E2A60" w:rsidR="007E2A60" w:rsidP="007E2A60" w:rsidRDefault="007E2A60" w14:paraId="13390C02" w14:textId="77777777">
            <w:pPr>
              <w:rPr>
                <w:rFonts w:ascii="Arial" w:hAnsi="Arial" w:cs="Arial"/>
                <w:sz w:val="22"/>
                <w:szCs w:val="22"/>
              </w:rPr>
            </w:pPr>
          </w:p>
        </w:tc>
      </w:tr>
      <w:tr w:rsidRPr="007E2A60" w:rsidR="007E2A60" w:rsidTr="007E2A60" w14:paraId="0850D53D" w14:textId="77777777">
        <w:tc>
          <w:tcPr>
            <w:tcW w:w="1844" w:type="dxa"/>
          </w:tcPr>
          <w:p w:rsidRPr="007E2A60" w:rsidR="007E2A60" w:rsidP="007E2A60" w:rsidRDefault="007E2A60" w14:paraId="450FFDCD" w14:textId="1AE402B6">
            <w:pPr>
              <w:rPr>
                <w:rFonts w:ascii="Arial" w:hAnsi="Arial" w:cs="Arial"/>
                <w:sz w:val="22"/>
                <w:szCs w:val="22"/>
              </w:rPr>
            </w:pPr>
            <w:proofErr w:type="spellStart"/>
            <w:r w:rsidRPr="007E2A60">
              <w:rPr>
                <w:rFonts w:ascii="Arial" w:hAnsi="Arial" w:cs="Arial"/>
                <w:sz w:val="22"/>
                <w:szCs w:val="22"/>
              </w:rPr>
              <w:t>CfC</w:t>
            </w:r>
            <w:proofErr w:type="spellEnd"/>
            <w:r w:rsidRPr="007E2A60">
              <w:rPr>
                <w:rFonts w:ascii="Arial" w:hAnsi="Arial" w:cs="Arial"/>
                <w:sz w:val="22"/>
                <w:szCs w:val="22"/>
              </w:rPr>
              <w:t xml:space="preserve"> Notification</w:t>
            </w:r>
          </w:p>
        </w:tc>
        <w:tc>
          <w:tcPr>
            <w:tcW w:w="8074" w:type="dxa"/>
          </w:tcPr>
          <w:p w:rsidRPr="007E2A60" w:rsidR="007E2A60" w:rsidP="007E2A60" w:rsidRDefault="007E2A60" w14:paraId="11F2A636" w14:textId="77777777">
            <w:pPr>
              <w:rPr>
                <w:rFonts w:ascii="Arial" w:hAnsi="Arial" w:cs="Arial"/>
                <w:sz w:val="22"/>
                <w:szCs w:val="22"/>
              </w:rPr>
            </w:pPr>
            <w:r w:rsidRPr="007E2A60">
              <w:rPr>
                <w:rFonts w:ascii="Arial" w:hAnsi="Arial" w:cs="Arial"/>
                <w:sz w:val="22"/>
                <w:szCs w:val="22"/>
              </w:rPr>
              <w:t xml:space="preserve">Completed by school (SBE) if a </w:t>
            </w:r>
            <w:proofErr w:type="spellStart"/>
            <w:r w:rsidRPr="007E2A60">
              <w:rPr>
                <w:rFonts w:ascii="Arial" w:hAnsi="Arial" w:cs="Arial"/>
                <w:sz w:val="22"/>
                <w:szCs w:val="22"/>
              </w:rPr>
              <w:t>CfC</w:t>
            </w:r>
            <w:proofErr w:type="spellEnd"/>
            <w:r w:rsidRPr="007E2A60">
              <w:rPr>
                <w:rFonts w:ascii="Arial" w:hAnsi="Arial" w:cs="Arial"/>
                <w:sz w:val="22"/>
                <w:szCs w:val="22"/>
              </w:rPr>
              <w:t xml:space="preserve"> is being raised and sent to UBE. This triggers an action plan. Notification should be shared with Year Tutor (YT) and </w:t>
            </w:r>
            <w:proofErr w:type="spellStart"/>
            <w:r w:rsidRPr="007E2A60">
              <w:rPr>
                <w:rFonts w:ascii="Arial" w:hAnsi="Arial" w:cs="Arial"/>
                <w:sz w:val="22"/>
                <w:szCs w:val="22"/>
              </w:rPr>
              <w:t>ITEPlacements</w:t>
            </w:r>
            <w:proofErr w:type="spellEnd"/>
            <w:r w:rsidRPr="007E2A60">
              <w:rPr>
                <w:rFonts w:ascii="Arial" w:hAnsi="Arial" w:cs="Arial"/>
                <w:sz w:val="22"/>
                <w:szCs w:val="22"/>
              </w:rPr>
              <w:t>.</w:t>
            </w:r>
          </w:p>
          <w:p w:rsidRPr="007E2A60" w:rsidR="007E2A60" w:rsidP="007E2A60" w:rsidRDefault="007E2A60" w14:paraId="05F58E42" w14:textId="77777777">
            <w:pPr>
              <w:rPr>
                <w:rFonts w:ascii="Arial" w:hAnsi="Arial" w:cs="Arial"/>
                <w:sz w:val="22"/>
                <w:szCs w:val="22"/>
              </w:rPr>
            </w:pPr>
          </w:p>
        </w:tc>
      </w:tr>
      <w:tr w:rsidRPr="007E2A60" w:rsidR="007E2A60" w:rsidTr="007E2A60" w14:paraId="46036648" w14:textId="77777777">
        <w:tc>
          <w:tcPr>
            <w:tcW w:w="1844" w:type="dxa"/>
          </w:tcPr>
          <w:p w:rsidRPr="007E2A60" w:rsidR="007E2A60" w:rsidP="007E2A60" w:rsidRDefault="007E2A60" w14:paraId="3A7F8E4A" w14:textId="3848C5A7">
            <w:pPr>
              <w:rPr>
                <w:rFonts w:ascii="Arial" w:hAnsi="Arial" w:cs="Arial"/>
                <w:sz w:val="22"/>
                <w:szCs w:val="22"/>
              </w:rPr>
            </w:pPr>
            <w:proofErr w:type="spellStart"/>
            <w:r w:rsidRPr="007E2A60">
              <w:rPr>
                <w:rFonts w:ascii="Arial" w:hAnsi="Arial" w:cs="Arial"/>
                <w:sz w:val="22"/>
                <w:szCs w:val="22"/>
              </w:rPr>
              <w:t>CfC</w:t>
            </w:r>
            <w:proofErr w:type="spellEnd"/>
            <w:r w:rsidRPr="007E2A60">
              <w:rPr>
                <w:rFonts w:ascii="Arial" w:hAnsi="Arial" w:cs="Arial"/>
                <w:sz w:val="22"/>
                <w:szCs w:val="22"/>
              </w:rPr>
              <w:t xml:space="preserve"> Action Plan</w:t>
            </w:r>
          </w:p>
        </w:tc>
        <w:tc>
          <w:tcPr>
            <w:tcW w:w="8074" w:type="dxa"/>
          </w:tcPr>
          <w:p w:rsidRPr="007E2A60" w:rsidR="007E2A60" w:rsidP="007E2A60" w:rsidRDefault="007E2A60" w14:paraId="24DF2D8D" w14:textId="77777777">
            <w:pPr>
              <w:rPr>
                <w:rFonts w:ascii="Arial" w:hAnsi="Arial" w:cs="Arial"/>
                <w:sz w:val="22"/>
                <w:szCs w:val="22"/>
              </w:rPr>
            </w:pPr>
            <w:r w:rsidRPr="007E2A60">
              <w:rPr>
                <w:rFonts w:ascii="Arial" w:hAnsi="Arial" w:cs="Arial"/>
                <w:sz w:val="22"/>
                <w:szCs w:val="22"/>
              </w:rPr>
              <w:t xml:space="preserve">Completed by UBE, in conjunction with SBE, and shared with student. Has achievable targets linked to SPR to be worked towards over an initial </w:t>
            </w:r>
            <w:proofErr w:type="gramStart"/>
            <w:r w:rsidRPr="007E2A60">
              <w:rPr>
                <w:rFonts w:ascii="Arial" w:hAnsi="Arial" w:cs="Arial"/>
                <w:sz w:val="22"/>
                <w:szCs w:val="22"/>
              </w:rPr>
              <w:t>2 week</w:t>
            </w:r>
            <w:proofErr w:type="gramEnd"/>
            <w:r w:rsidRPr="007E2A60">
              <w:rPr>
                <w:rFonts w:ascii="Arial" w:hAnsi="Arial" w:cs="Arial"/>
                <w:sz w:val="22"/>
                <w:szCs w:val="22"/>
              </w:rPr>
              <w:t xml:space="preserve"> period. Copy sent to </w:t>
            </w:r>
            <w:proofErr w:type="spellStart"/>
            <w:r w:rsidRPr="007E2A60">
              <w:rPr>
                <w:rFonts w:ascii="Arial" w:hAnsi="Arial" w:cs="Arial"/>
                <w:sz w:val="22"/>
                <w:szCs w:val="22"/>
              </w:rPr>
              <w:t>ITEPlacements</w:t>
            </w:r>
            <w:proofErr w:type="spellEnd"/>
            <w:r w:rsidRPr="007E2A60">
              <w:rPr>
                <w:rFonts w:ascii="Arial" w:hAnsi="Arial" w:cs="Arial"/>
                <w:sz w:val="22"/>
                <w:szCs w:val="22"/>
              </w:rPr>
              <w:t xml:space="preserve"> for storage.</w:t>
            </w:r>
          </w:p>
          <w:p w:rsidRPr="007E2A60" w:rsidR="007E2A60" w:rsidP="007E2A60" w:rsidRDefault="007E2A60" w14:paraId="34BBDFB2" w14:textId="77777777">
            <w:pPr>
              <w:rPr>
                <w:rFonts w:ascii="Arial" w:hAnsi="Arial" w:cs="Arial"/>
                <w:sz w:val="22"/>
                <w:szCs w:val="22"/>
              </w:rPr>
            </w:pPr>
          </w:p>
        </w:tc>
      </w:tr>
      <w:tr w:rsidRPr="007E2A60" w:rsidR="007E2A60" w:rsidTr="007E2A60" w14:paraId="342FE029" w14:textId="77777777">
        <w:tc>
          <w:tcPr>
            <w:tcW w:w="1844" w:type="dxa"/>
          </w:tcPr>
          <w:p w:rsidRPr="007E2A60" w:rsidR="007E2A60" w:rsidP="007E2A60" w:rsidRDefault="007E2A60" w14:paraId="0AF60A36" w14:textId="5AD360B9">
            <w:pPr>
              <w:rPr>
                <w:rFonts w:ascii="Arial" w:hAnsi="Arial" w:cs="Arial"/>
                <w:sz w:val="22"/>
                <w:szCs w:val="22"/>
              </w:rPr>
            </w:pPr>
            <w:r w:rsidRPr="007E2A60">
              <w:rPr>
                <w:rFonts w:ascii="Arial" w:hAnsi="Arial" w:cs="Arial"/>
                <w:sz w:val="22"/>
                <w:szCs w:val="22"/>
              </w:rPr>
              <w:t>School visits</w:t>
            </w:r>
          </w:p>
        </w:tc>
        <w:tc>
          <w:tcPr>
            <w:tcW w:w="8074" w:type="dxa"/>
          </w:tcPr>
          <w:p w:rsidRPr="007E2A60" w:rsidR="007E2A60" w:rsidP="007E2A60" w:rsidRDefault="007E2A60" w14:paraId="20E33C16" w14:textId="77777777">
            <w:pPr>
              <w:rPr>
                <w:rFonts w:ascii="Arial" w:hAnsi="Arial" w:cs="Arial"/>
                <w:sz w:val="22"/>
                <w:szCs w:val="22"/>
              </w:rPr>
            </w:pPr>
            <w:r w:rsidRPr="007E2A60">
              <w:rPr>
                <w:rFonts w:ascii="Arial" w:hAnsi="Arial" w:cs="Arial"/>
                <w:sz w:val="22"/>
                <w:szCs w:val="22"/>
              </w:rPr>
              <w:t xml:space="preserve">On visit – SBE and UBE have an opportunity to discuss progress. Mark on Joint Observation form if student is on track / not yet on track/ </w:t>
            </w:r>
            <w:proofErr w:type="spellStart"/>
            <w:r w:rsidRPr="007E2A60">
              <w:rPr>
                <w:rFonts w:ascii="Arial" w:hAnsi="Arial" w:cs="Arial"/>
                <w:sz w:val="22"/>
                <w:szCs w:val="22"/>
              </w:rPr>
              <w:t>CfC</w:t>
            </w:r>
            <w:proofErr w:type="spellEnd"/>
            <w:r w:rsidRPr="007E2A60">
              <w:rPr>
                <w:rFonts w:ascii="Arial" w:hAnsi="Arial" w:cs="Arial"/>
                <w:sz w:val="22"/>
                <w:szCs w:val="22"/>
              </w:rPr>
              <w:t xml:space="preserve"> where indicated. If student is not already a </w:t>
            </w:r>
            <w:proofErr w:type="spellStart"/>
            <w:r w:rsidRPr="007E2A60">
              <w:rPr>
                <w:rFonts w:ascii="Arial" w:hAnsi="Arial" w:cs="Arial"/>
                <w:sz w:val="22"/>
                <w:szCs w:val="22"/>
              </w:rPr>
              <w:t>CfC</w:t>
            </w:r>
            <w:proofErr w:type="spellEnd"/>
            <w:r w:rsidRPr="007E2A60">
              <w:rPr>
                <w:rFonts w:ascii="Arial" w:hAnsi="Arial" w:cs="Arial"/>
                <w:sz w:val="22"/>
                <w:szCs w:val="22"/>
              </w:rPr>
              <w:t xml:space="preserve"> at this point it is formally raised and discussed with student during the visit (please complete forms as detailed above in due course).</w:t>
            </w:r>
          </w:p>
          <w:p w:rsidRPr="007E2A60" w:rsidR="007E2A60" w:rsidP="007E2A60" w:rsidRDefault="007E2A60" w14:paraId="50A20143" w14:textId="77777777">
            <w:pPr>
              <w:rPr>
                <w:rFonts w:ascii="Arial" w:hAnsi="Arial" w:cs="Arial"/>
                <w:sz w:val="22"/>
                <w:szCs w:val="22"/>
              </w:rPr>
            </w:pPr>
          </w:p>
        </w:tc>
      </w:tr>
      <w:tr w:rsidRPr="007E2A60" w:rsidR="007E2A60" w:rsidTr="007E2A60" w14:paraId="174898C0" w14:textId="77777777">
        <w:tc>
          <w:tcPr>
            <w:tcW w:w="1844" w:type="dxa"/>
          </w:tcPr>
          <w:p w:rsidRPr="007E2A60" w:rsidR="007E2A60" w:rsidP="007E2A60" w:rsidRDefault="007E2A60" w14:paraId="40836A0B" w14:textId="7A3276DD">
            <w:pPr>
              <w:rPr>
                <w:rFonts w:ascii="Arial" w:hAnsi="Arial" w:cs="Arial"/>
                <w:sz w:val="22"/>
                <w:szCs w:val="22"/>
              </w:rPr>
            </w:pPr>
            <w:r w:rsidRPr="007E2A60">
              <w:rPr>
                <w:rFonts w:ascii="Arial" w:hAnsi="Arial" w:cs="Arial"/>
                <w:sz w:val="22"/>
                <w:szCs w:val="22"/>
              </w:rPr>
              <w:t xml:space="preserve">2 weeks post </w:t>
            </w:r>
            <w:proofErr w:type="spellStart"/>
            <w:r w:rsidRPr="007E2A60">
              <w:rPr>
                <w:rFonts w:ascii="Arial" w:hAnsi="Arial" w:cs="Arial"/>
                <w:sz w:val="22"/>
                <w:szCs w:val="22"/>
              </w:rPr>
              <w:t>CfC</w:t>
            </w:r>
            <w:proofErr w:type="spellEnd"/>
            <w:r w:rsidRPr="007E2A60">
              <w:rPr>
                <w:rFonts w:ascii="Arial" w:hAnsi="Arial" w:cs="Arial"/>
                <w:sz w:val="22"/>
                <w:szCs w:val="22"/>
              </w:rPr>
              <w:t xml:space="preserve"> Action Plan implementation </w:t>
            </w:r>
          </w:p>
        </w:tc>
        <w:tc>
          <w:tcPr>
            <w:tcW w:w="8074" w:type="dxa"/>
          </w:tcPr>
          <w:p w:rsidRPr="007E2A60" w:rsidR="007E2A60" w:rsidP="007E2A60" w:rsidRDefault="007E2A60" w14:paraId="4884E4DE" w14:textId="77777777">
            <w:pPr>
              <w:rPr>
                <w:rFonts w:ascii="Arial" w:hAnsi="Arial" w:cs="Arial"/>
                <w:sz w:val="22"/>
                <w:szCs w:val="22"/>
              </w:rPr>
            </w:pPr>
            <w:r w:rsidRPr="007E2A60">
              <w:rPr>
                <w:rFonts w:ascii="Arial" w:hAnsi="Arial" w:cs="Arial"/>
                <w:sz w:val="22"/>
                <w:szCs w:val="22"/>
              </w:rPr>
              <w:t xml:space="preserve">Progress towards targets </w:t>
            </w:r>
            <w:proofErr w:type="gramStart"/>
            <w:r w:rsidRPr="007E2A60">
              <w:rPr>
                <w:rFonts w:ascii="Arial" w:hAnsi="Arial" w:cs="Arial"/>
                <w:sz w:val="22"/>
                <w:szCs w:val="22"/>
              </w:rPr>
              <w:t>are</w:t>
            </w:r>
            <w:proofErr w:type="gramEnd"/>
            <w:r w:rsidRPr="007E2A60">
              <w:rPr>
                <w:rFonts w:ascii="Arial" w:hAnsi="Arial" w:cs="Arial"/>
                <w:sz w:val="22"/>
                <w:szCs w:val="22"/>
              </w:rPr>
              <w:t xml:space="preserve"> reviewed.</w:t>
            </w:r>
          </w:p>
          <w:p w:rsidRPr="007E2A60" w:rsidR="007E2A60" w:rsidP="007E2A60" w:rsidRDefault="007E2A60" w14:paraId="2D4D006D" w14:textId="77777777">
            <w:pPr>
              <w:rPr>
                <w:rFonts w:ascii="Arial" w:hAnsi="Arial" w:cs="Arial"/>
                <w:sz w:val="22"/>
                <w:szCs w:val="22"/>
              </w:rPr>
            </w:pPr>
            <w:r w:rsidRPr="007E2A60">
              <w:rPr>
                <w:rFonts w:ascii="Arial" w:hAnsi="Arial" w:cs="Arial"/>
                <w:sz w:val="22"/>
                <w:szCs w:val="22"/>
              </w:rPr>
              <w:t xml:space="preserve">If achieved / back on track to pass – Action Plan is signed off and YT / </w:t>
            </w:r>
            <w:proofErr w:type="spellStart"/>
            <w:r w:rsidRPr="007E2A60">
              <w:rPr>
                <w:rFonts w:ascii="Arial" w:hAnsi="Arial" w:cs="Arial"/>
                <w:sz w:val="22"/>
                <w:szCs w:val="22"/>
              </w:rPr>
              <w:t>ITEPlacements</w:t>
            </w:r>
            <w:proofErr w:type="spellEnd"/>
            <w:r w:rsidRPr="007E2A60">
              <w:rPr>
                <w:rFonts w:ascii="Arial" w:hAnsi="Arial" w:cs="Arial"/>
                <w:sz w:val="22"/>
                <w:szCs w:val="22"/>
              </w:rPr>
              <w:t xml:space="preserve"> informed.</w:t>
            </w:r>
          </w:p>
          <w:p w:rsidRPr="007E2A60" w:rsidR="007E2A60" w:rsidP="007E2A60" w:rsidRDefault="007E2A60" w14:paraId="7E161F06" w14:textId="77777777">
            <w:pPr>
              <w:rPr>
                <w:rFonts w:ascii="Arial" w:hAnsi="Arial" w:cs="Arial"/>
                <w:sz w:val="22"/>
                <w:szCs w:val="22"/>
              </w:rPr>
            </w:pPr>
            <w:r w:rsidRPr="007E2A60">
              <w:rPr>
                <w:rFonts w:ascii="Arial" w:hAnsi="Arial" w:cs="Arial"/>
                <w:sz w:val="22"/>
                <w:szCs w:val="22"/>
              </w:rPr>
              <w:t>If not yet on track – Action Plan is continued on to end of placement.</w:t>
            </w:r>
          </w:p>
          <w:p w:rsidRPr="007E2A60" w:rsidR="007E2A60" w:rsidP="007E2A60" w:rsidRDefault="007E2A60" w14:paraId="0160110F" w14:textId="77777777">
            <w:pPr>
              <w:rPr>
                <w:rFonts w:ascii="Arial" w:hAnsi="Arial" w:cs="Arial"/>
                <w:sz w:val="22"/>
                <w:szCs w:val="22"/>
              </w:rPr>
            </w:pPr>
          </w:p>
        </w:tc>
      </w:tr>
      <w:tr w:rsidRPr="007E2A60" w:rsidR="007E2A60" w:rsidTr="007E2A60" w14:paraId="17E487B4" w14:textId="77777777">
        <w:tc>
          <w:tcPr>
            <w:tcW w:w="1844" w:type="dxa"/>
          </w:tcPr>
          <w:p w:rsidRPr="007E2A60" w:rsidR="007E2A60" w:rsidP="007E2A60" w:rsidRDefault="007E2A60" w14:paraId="585984CF" w14:textId="7D06FE6F">
            <w:pPr>
              <w:rPr>
                <w:rFonts w:ascii="Arial" w:hAnsi="Arial" w:cs="Arial"/>
                <w:sz w:val="22"/>
                <w:szCs w:val="22"/>
              </w:rPr>
            </w:pPr>
            <w:r w:rsidRPr="007E2A60">
              <w:rPr>
                <w:rFonts w:ascii="Arial" w:hAnsi="Arial" w:cs="Arial"/>
                <w:sz w:val="22"/>
                <w:szCs w:val="22"/>
              </w:rPr>
              <w:t>Placement Withdrawal</w:t>
            </w:r>
          </w:p>
        </w:tc>
        <w:tc>
          <w:tcPr>
            <w:tcW w:w="8074" w:type="dxa"/>
          </w:tcPr>
          <w:p w:rsidRPr="007E2A60" w:rsidR="007E2A60" w:rsidP="007E2A60" w:rsidRDefault="007E2A60" w14:paraId="31B129AF" w14:textId="77777777">
            <w:pPr>
              <w:rPr>
                <w:rFonts w:ascii="Arial" w:hAnsi="Arial" w:cs="Arial"/>
                <w:sz w:val="22"/>
                <w:szCs w:val="22"/>
              </w:rPr>
            </w:pPr>
            <w:r w:rsidRPr="007E2A60">
              <w:rPr>
                <w:rFonts w:ascii="Arial" w:hAnsi="Arial" w:cs="Arial"/>
                <w:sz w:val="22"/>
                <w:szCs w:val="22"/>
              </w:rPr>
              <w:t xml:space="preserve">At any point: if student or school withdraws placement (see section 7.7. of the Handbook) a Placement Withdrawal Form must be completed and kept as a record and a copy shared with </w:t>
            </w:r>
            <w:proofErr w:type="spellStart"/>
            <w:r w:rsidRPr="007E2A60">
              <w:rPr>
                <w:rFonts w:ascii="Arial" w:hAnsi="Arial" w:cs="Arial"/>
                <w:sz w:val="22"/>
                <w:szCs w:val="22"/>
              </w:rPr>
              <w:t>ITEPlacements</w:t>
            </w:r>
            <w:proofErr w:type="spellEnd"/>
            <w:r w:rsidRPr="007E2A60">
              <w:rPr>
                <w:rFonts w:ascii="Arial" w:hAnsi="Arial" w:cs="Arial"/>
                <w:sz w:val="22"/>
                <w:szCs w:val="22"/>
              </w:rPr>
              <w:t xml:space="preserve">. A withdrawal counts as a </w:t>
            </w:r>
            <w:proofErr w:type="gramStart"/>
            <w:r w:rsidRPr="007E2A60">
              <w:rPr>
                <w:rFonts w:ascii="Arial" w:hAnsi="Arial" w:cs="Arial"/>
                <w:sz w:val="22"/>
                <w:szCs w:val="22"/>
              </w:rPr>
              <w:t>fail</w:t>
            </w:r>
            <w:proofErr w:type="gramEnd"/>
            <w:r w:rsidRPr="007E2A60">
              <w:rPr>
                <w:rFonts w:ascii="Arial" w:hAnsi="Arial" w:cs="Arial"/>
                <w:sz w:val="22"/>
                <w:szCs w:val="22"/>
              </w:rPr>
              <w:t xml:space="preserve"> at first attempt of placement and triggers retrieval (unless a student has ECs, in which case they will undertake placement at the next attempt for their year group as a first attempt).</w:t>
            </w:r>
          </w:p>
          <w:p w:rsidRPr="007E2A60" w:rsidR="007E2A60" w:rsidP="007E2A60" w:rsidRDefault="007E2A60" w14:paraId="7498E5D4" w14:textId="77777777">
            <w:pPr>
              <w:rPr>
                <w:rFonts w:ascii="Arial" w:hAnsi="Arial" w:cs="Arial"/>
                <w:sz w:val="22"/>
                <w:szCs w:val="22"/>
              </w:rPr>
            </w:pPr>
            <w:r w:rsidRPr="007E2A60">
              <w:rPr>
                <w:rFonts w:ascii="Arial" w:hAnsi="Arial" w:cs="Arial"/>
                <w:sz w:val="22"/>
                <w:szCs w:val="22"/>
              </w:rPr>
              <w:t xml:space="preserve">Debrief meeting between student and YT to discuss details of withdrawal and next steps.  </w:t>
            </w:r>
            <w:r w:rsidRPr="007E2A60">
              <w:rPr>
                <w:rFonts w:ascii="Arial" w:hAnsi="Arial" w:cs="Arial"/>
                <w:b/>
                <w:bCs/>
                <w:sz w:val="22"/>
                <w:szCs w:val="22"/>
              </w:rPr>
              <w:t xml:space="preserve">Meeting to be </w:t>
            </w:r>
            <w:proofErr w:type="spellStart"/>
            <w:r w:rsidRPr="007E2A60">
              <w:rPr>
                <w:rFonts w:ascii="Arial" w:hAnsi="Arial" w:cs="Arial"/>
                <w:b/>
                <w:bCs/>
                <w:sz w:val="22"/>
                <w:szCs w:val="22"/>
              </w:rPr>
              <w:t>minuted</w:t>
            </w:r>
            <w:proofErr w:type="spellEnd"/>
            <w:r w:rsidRPr="007E2A60">
              <w:rPr>
                <w:rFonts w:ascii="Arial" w:hAnsi="Arial" w:cs="Arial"/>
                <w:b/>
                <w:bCs/>
                <w:sz w:val="22"/>
                <w:szCs w:val="22"/>
              </w:rPr>
              <w:t xml:space="preserve"> and shared with student.</w:t>
            </w:r>
            <w:r w:rsidRPr="007E2A60">
              <w:rPr>
                <w:rFonts w:ascii="Arial" w:hAnsi="Arial" w:cs="Arial"/>
                <w:sz w:val="22"/>
                <w:szCs w:val="22"/>
              </w:rPr>
              <w:t xml:space="preserve"> </w:t>
            </w:r>
          </w:p>
          <w:p w:rsidRPr="007E2A60" w:rsidR="007E2A60" w:rsidP="007E2A60" w:rsidRDefault="007E2A60" w14:paraId="57D51526" w14:textId="77777777">
            <w:pPr>
              <w:rPr>
                <w:rFonts w:ascii="Arial" w:hAnsi="Arial" w:cs="Arial"/>
                <w:sz w:val="22"/>
                <w:szCs w:val="22"/>
              </w:rPr>
            </w:pPr>
          </w:p>
        </w:tc>
      </w:tr>
      <w:tr w:rsidRPr="007E2A60" w:rsidR="007E2A60" w:rsidTr="007E2A60" w14:paraId="0FC76070" w14:textId="77777777">
        <w:tc>
          <w:tcPr>
            <w:tcW w:w="1844" w:type="dxa"/>
          </w:tcPr>
          <w:p w:rsidRPr="007E2A60" w:rsidR="007E2A60" w:rsidP="007E2A60" w:rsidRDefault="007E2A60" w14:paraId="7183CDE2" w14:textId="105BD5CC">
            <w:pPr>
              <w:rPr>
                <w:rFonts w:ascii="Arial" w:hAnsi="Arial" w:cs="Arial"/>
                <w:sz w:val="22"/>
                <w:szCs w:val="22"/>
              </w:rPr>
            </w:pPr>
            <w:r w:rsidRPr="007E2A60">
              <w:rPr>
                <w:rFonts w:ascii="Arial" w:hAnsi="Arial" w:cs="Arial"/>
                <w:sz w:val="22"/>
                <w:szCs w:val="22"/>
              </w:rPr>
              <w:t xml:space="preserve">Final Report </w:t>
            </w:r>
          </w:p>
        </w:tc>
        <w:tc>
          <w:tcPr>
            <w:tcW w:w="8074" w:type="dxa"/>
          </w:tcPr>
          <w:p w:rsidRPr="007E2A60" w:rsidR="007E2A60" w:rsidP="007E2A60" w:rsidRDefault="007E2A60" w14:paraId="28B5EC41" w14:textId="77777777">
            <w:pPr>
              <w:rPr>
                <w:rFonts w:ascii="Arial" w:hAnsi="Arial" w:cs="Arial"/>
                <w:sz w:val="22"/>
                <w:szCs w:val="22"/>
              </w:rPr>
            </w:pPr>
            <w:r w:rsidRPr="007E2A60">
              <w:rPr>
                <w:rFonts w:ascii="Arial" w:hAnsi="Arial" w:cs="Arial"/>
                <w:sz w:val="22"/>
                <w:szCs w:val="22"/>
              </w:rPr>
              <w:t>Areas of Final Report are graded as ‘S’ (satisfactory) or ‘NYS’ (not yet satisfactory). This language avoids talk of failing (as there is retrieval to follow) and suggests that the student may simply need more time to demonstrate meeting the standard and does not sound so final at this point.</w:t>
            </w:r>
          </w:p>
          <w:p w:rsidRPr="007E2A60" w:rsidR="007E2A60" w:rsidP="007E2A60" w:rsidRDefault="007E2A60" w14:paraId="66354537" w14:textId="77777777">
            <w:pPr>
              <w:rPr>
                <w:rFonts w:ascii="Arial" w:hAnsi="Arial" w:cs="Arial"/>
                <w:sz w:val="22"/>
                <w:szCs w:val="22"/>
              </w:rPr>
            </w:pPr>
            <w:r w:rsidRPr="007E2A60">
              <w:rPr>
                <w:rFonts w:ascii="Arial" w:hAnsi="Arial" w:cs="Arial"/>
                <w:sz w:val="22"/>
                <w:szCs w:val="22"/>
              </w:rPr>
              <w:t xml:space="preserve">If Action Plan is not successfully achieved = Relevant areas will be marked as ‘NYS’ on the Final Report and trigger retrieval, in agreement with Board of Examiners. </w:t>
            </w:r>
          </w:p>
          <w:p w:rsidRPr="007E2A60" w:rsidR="007E2A60" w:rsidP="007E2A60" w:rsidRDefault="007E2A60" w14:paraId="24AD3363" w14:textId="77777777">
            <w:pPr>
              <w:rPr>
                <w:rFonts w:ascii="Arial" w:hAnsi="Arial" w:cs="Arial"/>
                <w:sz w:val="22"/>
                <w:szCs w:val="22"/>
              </w:rPr>
            </w:pPr>
            <w:r w:rsidRPr="007E2A60">
              <w:rPr>
                <w:rFonts w:ascii="Arial" w:hAnsi="Arial" w:cs="Arial"/>
                <w:sz w:val="22"/>
                <w:szCs w:val="22"/>
              </w:rPr>
              <w:t>A Grading Meeting will be held in lieu of the Board of Examiners to agree placement results and next steps, including retrieval and length of these.</w:t>
            </w:r>
          </w:p>
          <w:p w:rsidRPr="007E2A60" w:rsidR="007E2A60" w:rsidP="007E2A60" w:rsidRDefault="007E2A60" w14:paraId="24ED951F" w14:textId="77777777">
            <w:pPr>
              <w:rPr>
                <w:rFonts w:ascii="Arial" w:hAnsi="Arial" w:cs="Arial"/>
                <w:sz w:val="22"/>
                <w:szCs w:val="22"/>
              </w:rPr>
            </w:pPr>
          </w:p>
        </w:tc>
      </w:tr>
      <w:tr w:rsidRPr="007E2A60" w:rsidR="007E2A60" w:rsidTr="007E2A60" w14:paraId="1452A7C7" w14:textId="77777777">
        <w:tc>
          <w:tcPr>
            <w:tcW w:w="1844" w:type="dxa"/>
          </w:tcPr>
          <w:p w:rsidRPr="007E2A60" w:rsidR="007E2A60" w:rsidP="007E2A60" w:rsidRDefault="007E2A60" w14:paraId="507DED61" w14:textId="2E25B51F">
            <w:pPr>
              <w:rPr>
                <w:rFonts w:ascii="Arial" w:hAnsi="Arial" w:cs="Arial"/>
                <w:sz w:val="22"/>
                <w:szCs w:val="22"/>
              </w:rPr>
            </w:pPr>
            <w:r w:rsidRPr="007E2A60">
              <w:rPr>
                <w:rFonts w:ascii="Arial" w:hAnsi="Arial" w:cs="Arial"/>
                <w:sz w:val="22"/>
                <w:szCs w:val="22"/>
              </w:rPr>
              <w:t>Retrieval</w:t>
            </w:r>
          </w:p>
        </w:tc>
        <w:tc>
          <w:tcPr>
            <w:tcW w:w="8074" w:type="dxa"/>
          </w:tcPr>
          <w:p w:rsidRPr="007E2A60" w:rsidR="007E2A60" w:rsidP="007E2A60" w:rsidRDefault="007E2A60" w14:paraId="23991FBA" w14:textId="77777777">
            <w:pPr>
              <w:rPr>
                <w:rFonts w:ascii="Arial" w:hAnsi="Arial" w:cs="Arial"/>
                <w:sz w:val="22"/>
                <w:szCs w:val="22"/>
              </w:rPr>
            </w:pPr>
            <w:r w:rsidRPr="007E2A60">
              <w:rPr>
                <w:rFonts w:ascii="Arial" w:hAnsi="Arial" w:cs="Arial"/>
                <w:sz w:val="22"/>
                <w:szCs w:val="22"/>
              </w:rPr>
              <w:t xml:space="preserve">An Action Plan is created in advance of placement commencing, informed by the Final Report, which student agrees to and is shared with the retrieval school. A copy should be shared with </w:t>
            </w:r>
            <w:proofErr w:type="spellStart"/>
            <w:r w:rsidRPr="007E2A60">
              <w:rPr>
                <w:rFonts w:ascii="Arial" w:hAnsi="Arial" w:cs="Arial"/>
                <w:sz w:val="22"/>
                <w:szCs w:val="22"/>
              </w:rPr>
              <w:t>ITEPlacements</w:t>
            </w:r>
            <w:proofErr w:type="spellEnd"/>
            <w:r w:rsidRPr="007E2A60">
              <w:rPr>
                <w:rFonts w:ascii="Arial" w:hAnsi="Arial" w:cs="Arial"/>
                <w:sz w:val="22"/>
                <w:szCs w:val="22"/>
              </w:rPr>
              <w:t xml:space="preserve"> for storage.</w:t>
            </w:r>
          </w:p>
          <w:p w:rsidRPr="007E2A60" w:rsidR="007E2A60" w:rsidP="007E2A60" w:rsidRDefault="007E2A60" w14:paraId="4462F657" w14:textId="77777777">
            <w:pPr>
              <w:rPr>
                <w:rFonts w:ascii="Arial" w:hAnsi="Arial" w:cs="Arial"/>
                <w:sz w:val="22"/>
                <w:szCs w:val="22"/>
              </w:rPr>
            </w:pPr>
            <w:r w:rsidRPr="007E2A60">
              <w:rPr>
                <w:rFonts w:ascii="Arial" w:hAnsi="Arial" w:cs="Arial"/>
                <w:sz w:val="22"/>
                <w:szCs w:val="22"/>
              </w:rPr>
              <w:t>YT acts as UBE (with support from PL where needed).</w:t>
            </w:r>
          </w:p>
          <w:p w:rsidRPr="007E2A60" w:rsidR="007E2A60" w:rsidP="007E2A60" w:rsidRDefault="007E2A60" w14:paraId="2391444B" w14:textId="77777777">
            <w:pPr>
              <w:rPr>
                <w:rFonts w:ascii="Arial" w:hAnsi="Arial" w:cs="Arial"/>
                <w:sz w:val="22"/>
                <w:szCs w:val="22"/>
              </w:rPr>
            </w:pPr>
            <w:r w:rsidRPr="007E2A60">
              <w:rPr>
                <w:rFonts w:ascii="Arial" w:hAnsi="Arial" w:cs="Arial"/>
                <w:sz w:val="22"/>
                <w:szCs w:val="22"/>
              </w:rPr>
              <w:t>Action Plans are reviewed throughout to monitor progress.</w:t>
            </w:r>
          </w:p>
          <w:p w:rsidRPr="007E2A60" w:rsidR="007E2A60" w:rsidP="007E2A60" w:rsidRDefault="007E2A60" w14:paraId="17ABCFD2" w14:textId="77777777">
            <w:pPr>
              <w:rPr>
                <w:rFonts w:ascii="Arial" w:hAnsi="Arial" w:cs="Arial"/>
                <w:sz w:val="22"/>
                <w:szCs w:val="22"/>
              </w:rPr>
            </w:pPr>
          </w:p>
        </w:tc>
      </w:tr>
      <w:tr w:rsidRPr="007E2A60" w:rsidR="007E2A60" w:rsidTr="007E2A60" w14:paraId="0EF745DF" w14:textId="77777777">
        <w:tc>
          <w:tcPr>
            <w:tcW w:w="1844" w:type="dxa"/>
          </w:tcPr>
          <w:p w:rsidRPr="007E2A60" w:rsidR="007E2A60" w:rsidP="007E2A60" w:rsidRDefault="007E2A60" w14:paraId="00DAD078" w14:textId="77A24112">
            <w:pPr>
              <w:rPr>
                <w:rFonts w:ascii="Arial" w:hAnsi="Arial" w:cs="Arial"/>
                <w:sz w:val="22"/>
                <w:szCs w:val="22"/>
              </w:rPr>
            </w:pPr>
            <w:r w:rsidRPr="007E2A60">
              <w:rPr>
                <w:rFonts w:ascii="Arial" w:hAnsi="Arial" w:cs="Arial"/>
                <w:sz w:val="22"/>
                <w:szCs w:val="22"/>
              </w:rPr>
              <w:t>Retrieval Final Report</w:t>
            </w:r>
          </w:p>
        </w:tc>
        <w:tc>
          <w:tcPr>
            <w:tcW w:w="8074" w:type="dxa"/>
          </w:tcPr>
          <w:p w:rsidRPr="007E2A60" w:rsidR="007E2A60" w:rsidP="007E2A60" w:rsidRDefault="007E2A60" w14:paraId="16F5BF2D" w14:textId="77777777">
            <w:pPr>
              <w:rPr>
                <w:rFonts w:ascii="Arial" w:hAnsi="Arial" w:cs="Arial"/>
                <w:sz w:val="22"/>
                <w:szCs w:val="22"/>
              </w:rPr>
            </w:pPr>
            <w:r w:rsidRPr="007E2A60">
              <w:rPr>
                <w:rFonts w:ascii="Arial" w:hAnsi="Arial" w:cs="Arial"/>
                <w:sz w:val="22"/>
                <w:szCs w:val="22"/>
              </w:rPr>
              <w:t>Areas of Final Report are graded as ‘S’ (satisfactory) or ‘U’ (unsatisfactory). There are no further attempts.</w:t>
            </w:r>
          </w:p>
          <w:p w:rsidRPr="007E2A60" w:rsidR="007E2A60" w:rsidP="007E2A60" w:rsidRDefault="007E2A60" w14:paraId="6A38D561" w14:textId="77777777">
            <w:pPr>
              <w:rPr>
                <w:rFonts w:ascii="Arial" w:hAnsi="Arial" w:cs="Arial"/>
                <w:sz w:val="22"/>
                <w:szCs w:val="22"/>
              </w:rPr>
            </w:pPr>
          </w:p>
        </w:tc>
      </w:tr>
    </w:tbl>
    <w:p w:rsidRPr="007E2A60" w:rsidR="00AA3D6A" w:rsidRDefault="00AA3D6A" w14:paraId="47D76304" w14:textId="77777777">
      <w:pPr>
        <w:rPr>
          <w:rFonts w:ascii="Arial" w:hAnsi="Arial" w:cs="Arial"/>
          <w:sz w:val="22"/>
          <w:szCs w:val="22"/>
        </w:rPr>
      </w:pPr>
    </w:p>
    <w:sectPr w:rsidRPr="007E2A60" w:rsidR="00AA3D6A" w:rsidSect="007E2A60">
      <w:pgSz w:w="11906" w:h="16838" w:orient="portrait"/>
      <w:pgMar w:top="586" w:right="1440" w:bottom="3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60"/>
    <w:rsid w:val="005251CF"/>
    <w:rsid w:val="007E2A60"/>
    <w:rsid w:val="008C4385"/>
    <w:rsid w:val="00907989"/>
    <w:rsid w:val="00AA3D6A"/>
    <w:rsid w:val="00B053CC"/>
    <w:rsid w:val="00F65A6A"/>
    <w:rsid w:val="1BE963F8"/>
    <w:rsid w:val="2D8747A5"/>
    <w:rsid w:val="330CE0A7"/>
    <w:rsid w:val="392CBAE1"/>
    <w:rsid w:val="7BC1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AF3A66"/>
  <w15:chartTrackingRefBased/>
  <w15:docId w15:val="{E22C7753-DF38-1F47-87F6-83B47A9E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2A60"/>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2A60"/>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2A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2A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2A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2A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A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A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A6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E2A60"/>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7E2A60"/>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7E2A60"/>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7E2A60"/>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7E2A60"/>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7E2A6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E2A6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E2A6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E2A60"/>
    <w:rPr>
      <w:rFonts w:eastAsiaTheme="majorEastAsia" w:cstheme="majorBidi"/>
      <w:color w:val="272727" w:themeColor="text1" w:themeTint="D8"/>
    </w:rPr>
  </w:style>
  <w:style w:type="paragraph" w:styleId="Title">
    <w:name w:val="Title"/>
    <w:basedOn w:val="Normal"/>
    <w:next w:val="Normal"/>
    <w:link w:val="TitleChar"/>
    <w:uiPriority w:val="10"/>
    <w:qFormat/>
    <w:rsid w:val="007E2A6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E2A6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E2A60"/>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E2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A6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E2A60"/>
    <w:rPr>
      <w:i/>
      <w:iCs/>
      <w:color w:val="404040" w:themeColor="text1" w:themeTint="BF"/>
    </w:rPr>
  </w:style>
  <w:style w:type="paragraph" w:styleId="ListParagraph">
    <w:name w:val="List Paragraph"/>
    <w:basedOn w:val="Normal"/>
    <w:uiPriority w:val="34"/>
    <w:qFormat/>
    <w:rsid w:val="007E2A60"/>
    <w:pPr>
      <w:ind w:left="720"/>
      <w:contextualSpacing/>
    </w:pPr>
  </w:style>
  <w:style w:type="character" w:styleId="IntenseEmphasis">
    <w:name w:val="Intense Emphasis"/>
    <w:basedOn w:val="DefaultParagraphFont"/>
    <w:uiPriority w:val="21"/>
    <w:qFormat/>
    <w:rsid w:val="007E2A60"/>
    <w:rPr>
      <w:i/>
      <w:iCs/>
      <w:color w:val="2F5496" w:themeColor="accent1" w:themeShade="BF"/>
    </w:rPr>
  </w:style>
  <w:style w:type="paragraph" w:styleId="IntenseQuote">
    <w:name w:val="Intense Quote"/>
    <w:basedOn w:val="Normal"/>
    <w:next w:val="Normal"/>
    <w:link w:val="IntenseQuoteChar"/>
    <w:uiPriority w:val="30"/>
    <w:qFormat/>
    <w:rsid w:val="007E2A6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7E2A60"/>
    <w:rPr>
      <w:i/>
      <w:iCs/>
      <w:color w:val="2F5496" w:themeColor="accent1" w:themeShade="BF"/>
    </w:rPr>
  </w:style>
  <w:style w:type="character" w:styleId="IntenseReference">
    <w:name w:val="Intense Reference"/>
    <w:basedOn w:val="DefaultParagraphFont"/>
    <w:uiPriority w:val="32"/>
    <w:qFormat/>
    <w:rsid w:val="007E2A60"/>
    <w:rPr>
      <w:b/>
      <w:bCs/>
      <w:smallCaps/>
      <w:color w:val="2F5496" w:themeColor="accent1" w:themeShade="BF"/>
      <w:spacing w:val="5"/>
    </w:rPr>
  </w:style>
  <w:style w:type="table" w:styleId="TableGrid">
    <w:name w:val="Table Grid"/>
    <w:basedOn w:val="TableNormal"/>
    <w:uiPriority w:val="39"/>
    <w:rsid w:val="007E2A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28db1d18fead4c1b" Type="http://schemas.openxmlformats.org/officeDocument/2006/relationships/image" Target="/media/image.jpg"/><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630FBBEDCE0469492A1E0148876F0" ma:contentTypeVersion="17" ma:contentTypeDescription="Create a new document." ma:contentTypeScope="" ma:versionID="8a86a236771441cf3ab5e36178c3dca6">
  <xsd:schema xmlns:xsd="http://www.w3.org/2001/XMLSchema" xmlns:xs="http://www.w3.org/2001/XMLSchema" xmlns:p="http://schemas.microsoft.com/office/2006/metadata/properties" xmlns:ns2="0462f990-18b3-4ea2-9c99-ea01846f833a" xmlns:ns3="9b98e614-3499-4a23-9ed9-e88c3319c475" targetNamespace="http://schemas.microsoft.com/office/2006/metadata/properties" ma:root="true" ma:fieldsID="b374452e7711f65e663de9079088263d" ns2:_="" ns3:_="">
    <xsd:import namespace="0462f990-18b3-4ea2-9c99-ea01846f833a"/>
    <xsd:import namespace="9b98e614-3499-4a23-9ed9-e88c3319c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2f990-18b3-4ea2-9c99-ea01846f8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98e614-3499-4a23-9ed9-e88c3319c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e81484-3d50-4a9b-b7fa-3f364f0e9800}" ma:internalName="TaxCatchAll" ma:showField="CatchAllData" ma:web="9b98e614-3499-4a23-9ed9-e88c3319c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62f990-18b3-4ea2-9c99-ea01846f833a">
      <Terms xmlns="http://schemas.microsoft.com/office/infopath/2007/PartnerControls"/>
    </lcf76f155ced4ddcb4097134ff3c332f>
    <TaxCatchAll xmlns="9b98e614-3499-4a23-9ed9-e88c3319c475" xsi:nil="true"/>
    <SharedWithUsers xmlns="9b98e614-3499-4a23-9ed9-e88c3319c475">
      <UserInfo>
        <DisplayName/>
        <AccountId xsi:nil="true"/>
        <AccountType/>
      </UserInfo>
    </SharedWithUsers>
  </documentManagement>
</p:properties>
</file>

<file path=customXml/itemProps1.xml><?xml version="1.0" encoding="utf-8"?>
<ds:datastoreItem xmlns:ds="http://schemas.openxmlformats.org/officeDocument/2006/customXml" ds:itemID="{07ABFA63-7829-4ADB-915A-7756A0904828}"/>
</file>

<file path=customXml/itemProps2.xml><?xml version="1.0" encoding="utf-8"?>
<ds:datastoreItem xmlns:ds="http://schemas.openxmlformats.org/officeDocument/2006/customXml" ds:itemID="{572F80B3-47B1-4110-85C1-01281E1302EA}"/>
</file>

<file path=customXml/itemProps3.xml><?xml version="1.0" encoding="utf-8"?>
<ds:datastoreItem xmlns:ds="http://schemas.openxmlformats.org/officeDocument/2006/customXml" ds:itemID="{5495F09D-E12E-4E19-BCB5-86513F459C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Anderson</dc:creator>
  <cp:keywords/>
  <dc:description/>
  <cp:lastModifiedBy>Kolossy, Wendy</cp:lastModifiedBy>
  <cp:revision>3</cp:revision>
  <dcterms:created xsi:type="dcterms:W3CDTF">2025-03-22T14:32:00Z</dcterms:created>
  <dcterms:modified xsi:type="dcterms:W3CDTF">2025-03-26T10:45:13Z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0x010100B21630FBBEDCE0469492A1E0148876F0</vt:lpwstr>
  </property>
  <property fmtid="{D5CDD505-2E9C-101B-9397-08002B2CF9AE}" pid="3" name="Order">
    <vt:r8>7777000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