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Occupational Therapy Overview at Level 1"/>
        <w:tblDescription w:val="The table gives an overview of the QMU OT programme at level 1"/>
      </w:tblPr>
      <w:tblGrid>
        <w:gridCol w:w="999"/>
        <w:gridCol w:w="1991"/>
        <w:gridCol w:w="1992"/>
        <w:gridCol w:w="1992"/>
        <w:gridCol w:w="1992"/>
        <w:gridCol w:w="1992"/>
        <w:gridCol w:w="1992"/>
      </w:tblGrid>
      <w:tr w:rsidR="002D3EEF" w:rsidRPr="000D48C7" w14:paraId="38412FDF" w14:textId="063188C1" w:rsidTr="006A59D6">
        <w:trPr>
          <w:tblHeader/>
        </w:trPr>
        <w:tc>
          <w:tcPr>
            <w:tcW w:w="386" w:type="pct"/>
          </w:tcPr>
          <w:p w14:paraId="221839E7" w14:textId="77777777" w:rsidR="002D3EEF" w:rsidRPr="000D48C7" w:rsidRDefault="002D3EEF" w:rsidP="00616D1E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1F3864"/>
                <w:bdr w:val="none" w:sz="0" w:space="0" w:color="auto" w:frame="1"/>
              </w:rPr>
            </w:pPr>
            <w:bookmarkStart w:id="0" w:name="_GoBack" w:colFirst="0" w:colLast="7"/>
          </w:p>
        </w:tc>
        <w:tc>
          <w:tcPr>
            <w:tcW w:w="769" w:type="pct"/>
          </w:tcPr>
          <w:p w14:paraId="3C02429B" w14:textId="143628BF" w:rsidR="002D3EEF" w:rsidRPr="000D48C7" w:rsidRDefault="002D3EEF" w:rsidP="00616D1E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  <w:r w:rsidRPr="000D48C7">
              <w:rPr>
                <w:rFonts w:ascii="Arial" w:hAnsi="Arial" w:cs="Arial"/>
                <w:b/>
              </w:rPr>
              <w:t>Foundations of Occupational Therapy Practice</w:t>
            </w:r>
          </w:p>
        </w:tc>
        <w:tc>
          <w:tcPr>
            <w:tcW w:w="769" w:type="pct"/>
          </w:tcPr>
          <w:p w14:paraId="16722604" w14:textId="67D6F1AC" w:rsidR="002D3EEF" w:rsidRPr="000D48C7" w:rsidRDefault="002D3EEF" w:rsidP="00616D1E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 xml:space="preserve">Personal academic and professional development    </w:t>
            </w:r>
          </w:p>
        </w:tc>
        <w:tc>
          <w:tcPr>
            <w:tcW w:w="769" w:type="pct"/>
          </w:tcPr>
          <w:p w14:paraId="2A81B109" w14:textId="2394F4C8" w:rsidR="002D3EEF" w:rsidRPr="000D48C7" w:rsidRDefault="002D3EEF" w:rsidP="00616D1E">
            <w:pPr>
              <w:rPr>
                <w:rFonts w:ascii="Arial" w:hAnsi="Arial" w:cs="Arial"/>
                <w:b/>
              </w:rPr>
            </w:pPr>
            <w:r w:rsidRPr="000D48C7">
              <w:rPr>
                <w:rFonts w:ascii="Arial" w:hAnsi="Arial" w:cs="Arial"/>
                <w:b/>
              </w:rPr>
              <w:t xml:space="preserve">Health Wellbeing and Participation  </w:t>
            </w:r>
          </w:p>
        </w:tc>
        <w:tc>
          <w:tcPr>
            <w:tcW w:w="769" w:type="pct"/>
          </w:tcPr>
          <w:p w14:paraId="4C717924" w14:textId="5EB6D745" w:rsidR="002D3EEF" w:rsidRPr="000D48C7" w:rsidRDefault="002D3EEF" w:rsidP="00616D1E">
            <w:pPr>
              <w:rPr>
                <w:rFonts w:ascii="Arial" w:hAnsi="Arial" w:cs="Arial"/>
                <w:b/>
              </w:rPr>
            </w:pPr>
            <w:r w:rsidRPr="000D48C7">
              <w:rPr>
                <w:rFonts w:ascii="Arial" w:hAnsi="Arial" w:cs="Arial"/>
                <w:b/>
              </w:rPr>
              <w:t xml:space="preserve">Finding, Evaluating and Consuming Knowledge  </w:t>
            </w:r>
          </w:p>
        </w:tc>
        <w:tc>
          <w:tcPr>
            <w:tcW w:w="769" w:type="pct"/>
          </w:tcPr>
          <w:p w14:paraId="6DA267B2" w14:textId="10080CA5" w:rsidR="002D3EEF" w:rsidRPr="00551867" w:rsidRDefault="002D3EEF" w:rsidP="00616D1E">
            <w:pPr>
              <w:rPr>
                <w:rFonts w:ascii="Arial" w:hAnsi="Arial" w:cs="Arial"/>
                <w:b/>
              </w:rPr>
            </w:pPr>
            <w:r w:rsidRPr="00551867">
              <w:rPr>
                <w:rFonts w:ascii="Arial" w:hAnsi="Arial" w:cs="Arial"/>
                <w:b/>
              </w:rPr>
              <w:t>Occupational Therapy Process and Practice</w:t>
            </w:r>
          </w:p>
        </w:tc>
        <w:tc>
          <w:tcPr>
            <w:tcW w:w="769" w:type="pct"/>
          </w:tcPr>
          <w:p w14:paraId="35580D82" w14:textId="6660C9BB" w:rsidR="002D3EEF" w:rsidRPr="00CB3C1A" w:rsidRDefault="00616D1E" w:rsidP="00616D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Preparation for PBL1 </w:t>
            </w:r>
          </w:p>
        </w:tc>
      </w:tr>
      <w:tr w:rsidR="002D3EEF" w:rsidRPr="000D48C7" w14:paraId="26040F3A" w14:textId="0E0B1350" w:rsidTr="00616D1E">
        <w:tc>
          <w:tcPr>
            <w:tcW w:w="386" w:type="pct"/>
          </w:tcPr>
          <w:p w14:paraId="0813E39E" w14:textId="77777777" w:rsidR="002D3EEF" w:rsidRPr="000D48C7" w:rsidRDefault="002D3EEF" w:rsidP="00616D1E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1F3864"/>
                <w:bdr w:val="none" w:sz="0" w:space="0" w:color="auto" w:frame="1"/>
              </w:rPr>
            </w:pPr>
          </w:p>
        </w:tc>
        <w:tc>
          <w:tcPr>
            <w:tcW w:w="769" w:type="pct"/>
          </w:tcPr>
          <w:p w14:paraId="7CC5DDB5" w14:textId="77777777" w:rsidR="002D3EEF" w:rsidRDefault="002D3EEF" w:rsidP="00616D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LEARNERS</w:t>
            </w:r>
          </w:p>
          <w:p w14:paraId="550AE2FD" w14:textId="77777777" w:rsidR="002D3EEF" w:rsidRDefault="002D3EEF" w:rsidP="00616D1E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</w:tc>
        <w:tc>
          <w:tcPr>
            <w:tcW w:w="769" w:type="pct"/>
          </w:tcPr>
          <w:p w14:paraId="205B22D2" w14:textId="3DC1F619" w:rsidR="002D3EEF" w:rsidRDefault="002D3EEF" w:rsidP="00616D1E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  <w:t xml:space="preserve">Master of Occupational Therapy route only </w:t>
            </w:r>
          </w:p>
          <w:p w14:paraId="7E0FE8E1" w14:textId="196059A1" w:rsidR="002D3EEF" w:rsidRPr="000D48C7" w:rsidRDefault="002D3EEF" w:rsidP="00616D1E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bdr w:val="none" w:sz="0" w:space="0" w:color="auto" w:frame="1"/>
              </w:rPr>
            </w:pPr>
          </w:p>
        </w:tc>
        <w:tc>
          <w:tcPr>
            <w:tcW w:w="769" w:type="pct"/>
          </w:tcPr>
          <w:p w14:paraId="3B355101" w14:textId="1AB9E1A8" w:rsidR="002D3EEF" w:rsidRPr="000D48C7" w:rsidRDefault="002D3EEF" w:rsidP="00616D1E">
            <w:pPr>
              <w:rPr>
                <w:rFonts w:ascii="Arial" w:hAnsi="Arial" w:cs="Arial"/>
                <w:b/>
              </w:rPr>
            </w:pPr>
            <w:r w:rsidRPr="00AF1772">
              <w:rPr>
                <w:rFonts w:ascii="Arial" w:hAnsi="Arial" w:cs="Arial"/>
                <w:b/>
              </w:rPr>
              <w:t>Master of Occupational Therapy route only</w:t>
            </w:r>
          </w:p>
        </w:tc>
        <w:tc>
          <w:tcPr>
            <w:tcW w:w="769" w:type="pct"/>
          </w:tcPr>
          <w:p w14:paraId="077170E1" w14:textId="299F11A3" w:rsidR="002D3EEF" w:rsidRPr="000D48C7" w:rsidRDefault="002D3EEF" w:rsidP="00616D1E">
            <w:pPr>
              <w:rPr>
                <w:rFonts w:ascii="Arial" w:hAnsi="Arial" w:cs="Arial"/>
                <w:b/>
              </w:rPr>
            </w:pPr>
            <w:r w:rsidRPr="00AF1772">
              <w:rPr>
                <w:rFonts w:ascii="Arial" w:hAnsi="Arial" w:cs="Arial"/>
                <w:b/>
              </w:rPr>
              <w:t>Master of Occupational Therapy route only</w:t>
            </w:r>
          </w:p>
        </w:tc>
        <w:tc>
          <w:tcPr>
            <w:tcW w:w="769" w:type="pct"/>
          </w:tcPr>
          <w:p w14:paraId="2DC7A754" w14:textId="5B019708" w:rsidR="002D3EEF" w:rsidRPr="00551867" w:rsidRDefault="002D3EEF" w:rsidP="00616D1E">
            <w:pPr>
              <w:rPr>
                <w:rFonts w:ascii="Arial" w:hAnsi="Arial" w:cs="Arial"/>
                <w:b/>
              </w:rPr>
            </w:pPr>
            <w:r w:rsidRPr="00551867">
              <w:rPr>
                <w:rFonts w:ascii="Arial" w:hAnsi="Arial" w:cs="Arial"/>
                <w:b/>
              </w:rPr>
              <w:t xml:space="preserve">MSc (pre-reg) route only </w:t>
            </w:r>
          </w:p>
        </w:tc>
        <w:tc>
          <w:tcPr>
            <w:tcW w:w="769" w:type="pct"/>
          </w:tcPr>
          <w:p w14:paraId="59F0AACB" w14:textId="04A3B831" w:rsidR="002D3EEF" w:rsidRDefault="00616D1E" w:rsidP="00616D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LEARNERS</w:t>
            </w:r>
          </w:p>
        </w:tc>
      </w:tr>
      <w:tr w:rsidR="002D3EEF" w:rsidRPr="000D48C7" w14:paraId="47C6E4BA" w14:textId="00D51992" w:rsidTr="00616D1E">
        <w:tc>
          <w:tcPr>
            <w:tcW w:w="386" w:type="pct"/>
            <w:shd w:val="clear" w:color="auto" w:fill="auto"/>
          </w:tcPr>
          <w:p w14:paraId="37D65707" w14:textId="5AEA2A49" w:rsidR="002D3EEF" w:rsidRPr="000D48C7" w:rsidRDefault="002D3EEF" w:rsidP="00616D1E">
            <w:pPr>
              <w:rPr>
                <w:rFonts w:ascii="Arial" w:hAnsi="Arial" w:cs="Arial"/>
                <w:b/>
              </w:rPr>
            </w:pPr>
            <w:r w:rsidRPr="000D48C7">
              <w:rPr>
                <w:rFonts w:ascii="Arial" w:hAnsi="Arial" w:cs="Arial"/>
                <w:b/>
              </w:rPr>
              <w:t>K</w:t>
            </w:r>
            <w:r w:rsidRPr="000D48C7">
              <w:rPr>
                <w:rFonts w:ascii="Arial" w:hAnsi="Arial" w:cs="Arial"/>
                <w:b/>
              </w:rPr>
              <w:br/>
              <w:t>N</w:t>
            </w:r>
            <w:r w:rsidRPr="000D48C7">
              <w:rPr>
                <w:rFonts w:ascii="Arial" w:hAnsi="Arial" w:cs="Arial"/>
                <w:b/>
              </w:rPr>
              <w:br/>
              <w:t>O</w:t>
            </w:r>
            <w:r w:rsidRPr="000D48C7">
              <w:rPr>
                <w:rFonts w:ascii="Arial" w:hAnsi="Arial" w:cs="Arial"/>
                <w:b/>
              </w:rPr>
              <w:br/>
              <w:t>W</w:t>
            </w:r>
            <w:r w:rsidRPr="000D48C7">
              <w:rPr>
                <w:rFonts w:ascii="Arial" w:hAnsi="Arial" w:cs="Arial"/>
                <w:b/>
              </w:rPr>
              <w:br/>
              <w:t>L</w:t>
            </w:r>
            <w:r w:rsidRPr="000D48C7">
              <w:rPr>
                <w:rFonts w:ascii="Arial" w:hAnsi="Arial" w:cs="Arial"/>
                <w:b/>
              </w:rPr>
              <w:br/>
              <w:t>E</w:t>
            </w:r>
            <w:r w:rsidRPr="000D48C7">
              <w:rPr>
                <w:rFonts w:ascii="Arial" w:hAnsi="Arial" w:cs="Arial"/>
                <w:b/>
              </w:rPr>
              <w:br/>
              <w:t>D</w:t>
            </w:r>
            <w:r w:rsidRPr="000D48C7">
              <w:rPr>
                <w:rFonts w:ascii="Arial" w:hAnsi="Arial" w:cs="Arial"/>
                <w:b/>
              </w:rPr>
              <w:br/>
              <w:t>G</w:t>
            </w:r>
            <w:r w:rsidRPr="000D48C7">
              <w:rPr>
                <w:rFonts w:ascii="Arial" w:hAnsi="Arial" w:cs="Arial"/>
                <w:b/>
              </w:rPr>
              <w:br/>
              <w:t xml:space="preserve">E </w:t>
            </w:r>
          </w:p>
        </w:tc>
        <w:tc>
          <w:tcPr>
            <w:tcW w:w="769" w:type="pct"/>
          </w:tcPr>
          <w:p w14:paraId="2AF0EEC6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Theory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804E19E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Occupational therapy</w:t>
            </w: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: Organisation of theory in occupational therapy; Paradigm shifts; Contemporary paradigm – occupation as a core construct. Intro to OT conceptual models for practice</w:t>
            </w:r>
          </w:p>
          <w:p w14:paraId="6E50535F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Introduction to OT process.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A9B4FC9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Theories of health, wellness, disability and disablement : </w:t>
            </w: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e.g. Biomedical; Biopsychosocial model, International Classification of </w:t>
            </w: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 xml:space="preserve">Functioning and Health (ICF); Social Model of  Disability, </w:t>
            </w:r>
          </w:p>
          <w:p w14:paraId="535097A1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Underpinning sciences: </w:t>
            </w: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Introduction to body systems and biomedicine;  Underpinning sciences  (biopsychosocial ) relevant to module scenarios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5EFE1A3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Skills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EAFE782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Group/ team working skills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513008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Self as therapeutic agent: Intentional relationship; Non-verbal communication; Active listening; Listening blocks 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AC7987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Interviewing: Interviewing principles with role plays to practice interview skills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9BEE29E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>Observation skills:  observing and analysing occupational performance 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B08B88B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Intro to documentation</w:t>
            </w:r>
          </w:p>
          <w:p w14:paraId="689C6A9C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Teaching skills </w:t>
            </w:r>
            <w:r w:rsidRPr="000D48C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B2D2C4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Occupation and activity analysis</w:t>
            </w:r>
            <w:r w:rsidRPr="000D48C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E4C78DB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Values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6C52042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Inter-professional education: 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3734E61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Becoming an allied health care professional-professionalism and core values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992C73E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Roles and functions of regulatory and professional bodies 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F24D7E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01F1E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Codes of ethics and professional conduct and standards of practice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4A6A140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69" w:type="pct"/>
            <w:shd w:val="clear" w:color="auto" w:fill="auto"/>
          </w:tcPr>
          <w:p w14:paraId="0D4613B5" w14:textId="1DB2EFCF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lastRenderedPageBreak/>
              <w:t>Personal Transformation to role of occupational therapy student</w:t>
            </w:r>
          </w:p>
          <w:p w14:paraId="6BA970EA" w14:textId="5ED7863F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462636A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 Health wellbeing resilience and support while in university </w:t>
            </w:r>
          </w:p>
          <w:p w14:paraId="756BE6DB" w14:textId="76C02543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844802" w14:textId="0D8CBEE4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Occupation and occupational science concepts</w:t>
            </w:r>
            <w:r w:rsidRPr="000D48C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B83DB16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497067" w14:textId="38BFF80E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Experiences of occupation, including Flow</w:t>
            </w:r>
          </w:p>
          <w:p w14:paraId="379C03E2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</w:p>
          <w:p w14:paraId="215C8696" w14:textId="656E8760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Transition </w:t>
            </w:r>
          </w:p>
          <w:p w14:paraId="5C4C5DE4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</w:p>
          <w:p w14:paraId="43449F7E" w14:textId="3BC35645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Reflection </w:t>
            </w:r>
            <w:r w:rsidRPr="000D48C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D16131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2FCAB129" w14:textId="12E8370B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Communication &amp; self-awareness</w:t>
            </w:r>
          </w:p>
          <w:p w14:paraId="34D5794A" w14:textId="77777777" w:rsidR="002D3EEF" w:rsidRPr="000D48C7" w:rsidRDefault="002D3EEF" w:rsidP="00616D1E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shd w:val="clear" w:color="auto" w:fill="auto"/>
          </w:tcPr>
          <w:p w14:paraId="4E902D43" w14:textId="189333A1" w:rsidR="002D3EEF" w:rsidRPr="000D48C7" w:rsidRDefault="002D3EEF" w:rsidP="00616D1E">
            <w:pPr>
              <w:rPr>
                <w:rFonts w:ascii="Arial" w:hAnsi="Arial" w:cs="Arial"/>
                <w:b/>
              </w:rPr>
            </w:pPr>
            <w:r w:rsidRPr="000D48C7">
              <w:rPr>
                <w:rFonts w:ascii="Arial" w:hAnsi="Arial" w:cs="Arial"/>
                <w:b/>
              </w:rPr>
              <w:t>Theory</w:t>
            </w:r>
          </w:p>
          <w:p w14:paraId="6BF4E2A6" w14:textId="2A4C5CC8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Overview of key occupational science concepts (e.g. disruption, dysfunction, deprivation) </w:t>
            </w:r>
          </w:p>
          <w:p w14:paraId="2CA7F809" w14:textId="024BD0ED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Psychology and sociology, social determinants of health </w:t>
            </w:r>
          </w:p>
          <w:p w14:paraId="42E34351" w14:textId="5B96FF15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Dimensions of health and well-being and relationship to occupation </w:t>
            </w:r>
          </w:p>
          <w:p w14:paraId="239A504C" w14:textId="31578C47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>Occupational therapy models for practice- applying knowledge from practice based learning</w:t>
            </w:r>
          </w:p>
          <w:p w14:paraId="72072D3A" w14:textId="481545E2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Applied anatomy, physiology and pathophysiology of a variety of </w:t>
            </w:r>
            <w:r w:rsidRPr="000D48C7">
              <w:rPr>
                <w:rFonts w:ascii="Arial" w:hAnsi="Arial" w:cs="Arial"/>
              </w:rPr>
              <w:lastRenderedPageBreak/>
              <w:t xml:space="preserve">lifespan conditions </w:t>
            </w:r>
          </w:p>
          <w:p w14:paraId="185EFE10" w14:textId="2954DC33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The person / group / community in different contexts </w:t>
            </w:r>
          </w:p>
          <w:p w14:paraId="0F45662F" w14:textId="139135F4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>Diversity, human rights</w:t>
            </w:r>
          </w:p>
          <w:p w14:paraId="44CF90AD" w14:textId="77777777" w:rsidR="002D3EEF" w:rsidRPr="000D48C7" w:rsidRDefault="002D3EEF" w:rsidP="00616D1E">
            <w:pPr>
              <w:rPr>
                <w:rFonts w:ascii="Arial" w:hAnsi="Arial" w:cs="Arial"/>
              </w:rPr>
            </w:pPr>
          </w:p>
          <w:p w14:paraId="3A0C6CA8" w14:textId="0BAD548C" w:rsidR="002D3EEF" w:rsidRPr="000D48C7" w:rsidRDefault="002D3EEF" w:rsidP="00616D1E">
            <w:pPr>
              <w:rPr>
                <w:rFonts w:ascii="Arial" w:hAnsi="Arial" w:cs="Arial"/>
                <w:b/>
              </w:rPr>
            </w:pPr>
            <w:r w:rsidRPr="000D48C7">
              <w:rPr>
                <w:rFonts w:ascii="Arial" w:hAnsi="Arial" w:cs="Arial"/>
                <w:b/>
              </w:rPr>
              <w:t>Skills</w:t>
            </w:r>
          </w:p>
          <w:p w14:paraId="746DDFA7" w14:textId="51021C92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>Group/ team working skills</w:t>
            </w:r>
          </w:p>
          <w:p w14:paraId="362A0DEB" w14:textId="1B39EABD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Presentation and debating skills </w:t>
            </w:r>
          </w:p>
          <w:p w14:paraId="0664BAC7" w14:textId="19AD5553" w:rsidR="002D3EEF" w:rsidRPr="000D48C7" w:rsidRDefault="002D3EEF" w:rsidP="00616D1E">
            <w:pPr>
              <w:rPr>
                <w:rFonts w:ascii="Arial" w:hAnsi="Arial" w:cs="Arial"/>
              </w:rPr>
            </w:pPr>
            <w:proofErr w:type="spellStart"/>
            <w:r w:rsidRPr="000D48C7">
              <w:rPr>
                <w:rFonts w:ascii="Arial" w:hAnsi="Arial" w:cs="Arial"/>
              </w:rPr>
              <w:t>Conceptualising</w:t>
            </w:r>
            <w:proofErr w:type="spellEnd"/>
            <w:r w:rsidRPr="000D48C7">
              <w:rPr>
                <w:rFonts w:ascii="Arial" w:hAnsi="Arial" w:cs="Arial"/>
              </w:rPr>
              <w:t xml:space="preserve"> real-world scenarios</w:t>
            </w:r>
          </w:p>
          <w:p w14:paraId="4F799E8D" w14:textId="77777777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>Practical skills in grading and adapting occupations</w:t>
            </w:r>
          </w:p>
          <w:p w14:paraId="701E28CE" w14:textId="77777777" w:rsidR="002D3EEF" w:rsidRPr="000D48C7" w:rsidRDefault="002D3EEF" w:rsidP="00616D1E">
            <w:pPr>
              <w:rPr>
                <w:rFonts w:ascii="Arial" w:hAnsi="Arial" w:cs="Arial"/>
              </w:rPr>
            </w:pPr>
          </w:p>
          <w:p w14:paraId="4DFD92BE" w14:textId="77777777" w:rsidR="002D3EEF" w:rsidRPr="000D48C7" w:rsidRDefault="002D3EEF" w:rsidP="00616D1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0D48C7">
              <w:rPr>
                <w:rFonts w:ascii="Arial" w:eastAsia="Times New Roman" w:hAnsi="Arial" w:cs="Arial"/>
                <w:b/>
                <w:lang w:val="en-GB" w:eastAsia="en-GB"/>
              </w:rPr>
              <w:t>Values</w:t>
            </w:r>
          </w:p>
          <w:p w14:paraId="13F36A0E" w14:textId="77777777" w:rsidR="002D3EEF" w:rsidRPr="000D48C7" w:rsidRDefault="002D3EEF" w:rsidP="00616D1E">
            <w:pPr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0D48C7">
              <w:rPr>
                <w:rFonts w:ascii="Arial" w:eastAsia="Times New Roman" w:hAnsi="Arial" w:cs="Arial"/>
                <w:lang w:val="en-GB" w:eastAsia="en-GB"/>
              </w:rPr>
              <w:t>Person centredness</w:t>
            </w:r>
          </w:p>
          <w:p w14:paraId="7C384531" w14:textId="77777777" w:rsidR="002D3EEF" w:rsidRPr="000D48C7" w:rsidRDefault="002D3EEF" w:rsidP="00616D1E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0D48C7">
              <w:rPr>
                <w:rFonts w:ascii="Arial" w:eastAsia="Times New Roman" w:hAnsi="Arial" w:cs="Arial"/>
                <w:lang w:val="en-GB" w:eastAsia="en-GB"/>
              </w:rPr>
              <w:t>Citizenship</w:t>
            </w:r>
          </w:p>
          <w:p w14:paraId="15C36C27" w14:textId="0518D7AF" w:rsidR="002D3EEF" w:rsidRPr="000D48C7" w:rsidRDefault="002D3EEF" w:rsidP="00616D1E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0D48C7">
              <w:rPr>
                <w:rFonts w:ascii="Arial" w:eastAsia="Times New Roman" w:hAnsi="Arial" w:cs="Arial"/>
                <w:lang w:val="en-GB" w:eastAsia="en-GB"/>
              </w:rPr>
              <w:t xml:space="preserve">Respecting diversity, respecting individual and cultural narratives and journeys  </w:t>
            </w:r>
          </w:p>
          <w:p w14:paraId="5E65D0A0" w14:textId="6095DBCD" w:rsidR="002D3EEF" w:rsidRPr="000D48C7" w:rsidRDefault="002D3EEF" w:rsidP="00616D1E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  <w:shd w:val="clear" w:color="auto" w:fill="auto"/>
          </w:tcPr>
          <w:p w14:paraId="03017CB2" w14:textId="7FBE92E8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  <w:p w14:paraId="6B1961B9" w14:textId="0663BCA3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Definitions and concepts of knowledge. Relationships to decision making and the social contract of health professions. Critical thinking as a skill for professional practice inc. decision making. Philosophy of science and ways of creating knowledge to inform decision making. Research methods and how to critically read qualitative and quantitative research</w:t>
            </w:r>
          </w:p>
        </w:tc>
        <w:tc>
          <w:tcPr>
            <w:tcW w:w="769" w:type="pct"/>
          </w:tcPr>
          <w:p w14:paraId="7BF4570C" w14:textId="77777777" w:rsidR="002D3EEF" w:rsidRDefault="006C0CE4" w:rsidP="00616D1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01F1E"/>
              </w:rPr>
            </w:pPr>
            <w:r w:rsidRPr="006C0CE4">
              <w:rPr>
                <w:rFonts w:ascii="Arial" w:eastAsia="Times New Roman" w:hAnsi="Arial" w:cs="Arial"/>
                <w:b/>
                <w:bCs/>
                <w:color w:val="201F1E"/>
              </w:rPr>
              <w:t>Theory</w:t>
            </w:r>
            <w:r>
              <w:rPr>
                <w:rFonts w:ascii="Arial" w:eastAsia="Times New Roman" w:hAnsi="Arial" w:cs="Arial"/>
                <w:b/>
                <w:bCs/>
                <w:color w:val="201F1E"/>
              </w:rPr>
              <w:t>:</w:t>
            </w:r>
          </w:p>
          <w:p w14:paraId="425C4B5E" w14:textId="77777777" w:rsidR="006C0CE4" w:rsidRDefault="006C0CE4" w:rsidP="00616D1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01F1E"/>
              </w:rPr>
            </w:pPr>
          </w:p>
          <w:p w14:paraId="17ECD143" w14:textId="5E62410B" w:rsidR="006C0CE4" w:rsidRDefault="006C0CE4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 xml:space="preserve">Developing understanding of systems and complexity theory in context of occupational therapy process, with intention learn to approach practice components (intervention, assessment </w:t>
            </w:r>
            <w:proofErr w:type="spellStart"/>
            <w:r>
              <w:rPr>
                <w:rFonts w:ascii="Arial" w:eastAsia="Times New Roman" w:hAnsi="Arial" w:cs="Arial"/>
                <w:color w:val="201F1E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201F1E"/>
              </w:rPr>
              <w:t>) with understanding of the occupational function of each component. Theories and frames of reference relevant to the chosen OT processes</w:t>
            </w:r>
            <w:r w:rsidR="00B06FB6">
              <w:rPr>
                <w:rFonts w:ascii="Arial" w:eastAsia="Times New Roman" w:hAnsi="Arial" w:cs="Arial"/>
                <w:color w:val="201F1E"/>
              </w:rPr>
              <w:t xml:space="preserve"> will be explored by students. </w:t>
            </w:r>
          </w:p>
          <w:p w14:paraId="3CEE1293" w14:textId="77777777" w:rsidR="00B06FB6" w:rsidRPr="000D48C7" w:rsidRDefault="00B06FB6" w:rsidP="00B06FB6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lastRenderedPageBreak/>
              <w:t>Occupational therapy models for practice- applying knowledge from practice based learning</w:t>
            </w:r>
          </w:p>
          <w:p w14:paraId="144B6C98" w14:textId="77777777" w:rsidR="00B06FB6" w:rsidRPr="000D48C7" w:rsidRDefault="00B06FB6" w:rsidP="00B06FB6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Applied anatomy, physiology and pathophysiology of a variety of lifespan conditions </w:t>
            </w:r>
          </w:p>
          <w:p w14:paraId="2C91B8DE" w14:textId="77777777" w:rsidR="00B06FB6" w:rsidRPr="000D48C7" w:rsidRDefault="00B06FB6" w:rsidP="00B06FB6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The person / group / community in different contexts </w:t>
            </w:r>
          </w:p>
          <w:p w14:paraId="6D6DF895" w14:textId="77777777" w:rsidR="00B06FB6" w:rsidRPr="000D48C7" w:rsidRDefault="00B06FB6" w:rsidP="00B06FB6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>Diversity, human rights</w:t>
            </w:r>
          </w:p>
          <w:p w14:paraId="7A662D8A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  <w:p w14:paraId="63F8A038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  <w:p w14:paraId="6DCB08FD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201F1E"/>
              </w:rPr>
            </w:pPr>
            <w:r w:rsidRPr="00B06FB6">
              <w:rPr>
                <w:rFonts w:ascii="Arial" w:eastAsia="Times New Roman" w:hAnsi="Arial" w:cs="Arial"/>
                <w:b/>
                <w:bCs/>
                <w:color w:val="201F1E"/>
              </w:rPr>
              <w:t>Skills:</w:t>
            </w:r>
          </w:p>
          <w:p w14:paraId="65A6BC0B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>Presentation of reasoning</w:t>
            </w:r>
          </w:p>
          <w:p w14:paraId="73B38FA8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 xml:space="preserve">Therapeutic use of self/critical reflection and reflexivity. </w:t>
            </w:r>
          </w:p>
          <w:p w14:paraId="664A0B4A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>Goal-setting</w:t>
            </w:r>
          </w:p>
          <w:p w14:paraId="09C624D4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>Interviewing</w:t>
            </w:r>
          </w:p>
          <w:p w14:paraId="04DA6B1B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t>Intervention planning</w:t>
            </w:r>
          </w:p>
          <w:p w14:paraId="64C715A1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>
              <w:rPr>
                <w:rFonts w:ascii="Arial" w:eastAsia="Times New Roman" w:hAnsi="Arial" w:cs="Arial"/>
                <w:color w:val="201F1E"/>
              </w:rPr>
              <w:lastRenderedPageBreak/>
              <w:t>Evaluation</w:t>
            </w:r>
          </w:p>
          <w:p w14:paraId="3EA20714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  <w:p w14:paraId="4F936FAB" w14:textId="77777777" w:rsid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  <w:p w14:paraId="282E0474" w14:textId="68F66527" w:rsidR="00B06FB6" w:rsidRPr="00B06FB6" w:rsidRDefault="00B06FB6" w:rsidP="00616D1E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</w:tc>
        <w:tc>
          <w:tcPr>
            <w:tcW w:w="769" w:type="pct"/>
          </w:tcPr>
          <w:p w14:paraId="2F7DF662" w14:textId="77777777" w:rsidR="007B41E3" w:rsidRPr="007B41E3" w:rsidRDefault="007B41E3" w:rsidP="007B41E3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 w:rsidRPr="007B41E3">
              <w:rPr>
                <w:rFonts w:ascii="Arial" w:eastAsia="Times New Roman" w:hAnsi="Arial" w:cs="Arial"/>
                <w:color w:val="201F1E"/>
              </w:rPr>
              <w:lastRenderedPageBreak/>
              <w:t xml:space="preserve">Describe and </w:t>
            </w:r>
            <w:proofErr w:type="spellStart"/>
            <w:r w:rsidRPr="007B41E3">
              <w:rPr>
                <w:rFonts w:ascii="Arial" w:eastAsia="Times New Roman" w:hAnsi="Arial" w:cs="Arial"/>
                <w:color w:val="201F1E"/>
              </w:rPr>
              <w:t>recognise</w:t>
            </w:r>
            <w:proofErr w:type="spellEnd"/>
            <w:r w:rsidRPr="007B41E3">
              <w:rPr>
                <w:rFonts w:ascii="Arial" w:eastAsia="Times New Roman" w:hAnsi="Arial" w:cs="Arial"/>
                <w:color w:val="201F1E"/>
              </w:rPr>
              <w:t xml:space="preserve"> the importance of stakeholder and learner roles and responsibilities within the context of the practice environment.</w:t>
            </w:r>
          </w:p>
          <w:p w14:paraId="0E61D250" w14:textId="77777777" w:rsidR="007B41E3" w:rsidRPr="007B41E3" w:rsidRDefault="007B41E3" w:rsidP="007B41E3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  <w:p w14:paraId="59CE1031" w14:textId="77777777" w:rsidR="007B41E3" w:rsidRPr="007B41E3" w:rsidRDefault="007B41E3" w:rsidP="007B41E3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  <w:p w14:paraId="51500C6E" w14:textId="77777777" w:rsidR="007B41E3" w:rsidRPr="007B41E3" w:rsidRDefault="007B41E3" w:rsidP="007B41E3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 w:rsidRPr="007B41E3">
              <w:rPr>
                <w:rFonts w:ascii="Arial" w:eastAsia="Times New Roman" w:hAnsi="Arial" w:cs="Arial"/>
                <w:color w:val="201F1E"/>
              </w:rPr>
              <w:t xml:space="preserve">Demonstrate knowledge, skills and understanding of the principles and application of legislation, policies and procedures to </w:t>
            </w:r>
            <w:proofErr w:type="spellStart"/>
            <w:r w:rsidRPr="007B41E3">
              <w:rPr>
                <w:rFonts w:ascii="Arial" w:eastAsia="Times New Roman" w:hAnsi="Arial" w:cs="Arial"/>
                <w:color w:val="201F1E"/>
              </w:rPr>
              <w:t>minimise</w:t>
            </w:r>
            <w:proofErr w:type="spellEnd"/>
            <w:r w:rsidRPr="007B41E3">
              <w:rPr>
                <w:rFonts w:ascii="Arial" w:eastAsia="Times New Roman" w:hAnsi="Arial" w:cs="Arial"/>
                <w:color w:val="201F1E"/>
              </w:rPr>
              <w:t xml:space="preserve"> risk and maintain own and others’ health, well-being, safety and security</w:t>
            </w:r>
          </w:p>
          <w:p w14:paraId="06F9AFA1" w14:textId="77777777" w:rsidR="007B41E3" w:rsidRPr="007B41E3" w:rsidRDefault="007B41E3" w:rsidP="007B41E3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  <w:p w14:paraId="33D37AE5" w14:textId="35036F74" w:rsidR="007B41E3" w:rsidRDefault="007B41E3" w:rsidP="007B41E3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 w:rsidRPr="007B41E3">
              <w:rPr>
                <w:rFonts w:ascii="Arial" w:eastAsia="Times New Roman" w:hAnsi="Arial" w:cs="Arial"/>
                <w:color w:val="201F1E"/>
              </w:rPr>
              <w:lastRenderedPageBreak/>
              <w:t xml:space="preserve">Demonstrate personal responsibility and professional </w:t>
            </w:r>
            <w:proofErr w:type="spellStart"/>
            <w:r w:rsidRPr="007B41E3">
              <w:rPr>
                <w:rFonts w:ascii="Arial" w:eastAsia="Times New Roman" w:hAnsi="Arial" w:cs="Arial"/>
                <w:color w:val="201F1E"/>
              </w:rPr>
              <w:t>behaviours</w:t>
            </w:r>
            <w:proofErr w:type="spellEnd"/>
            <w:r w:rsidRPr="007B41E3">
              <w:rPr>
                <w:rFonts w:ascii="Arial" w:eastAsia="Times New Roman" w:hAnsi="Arial" w:cs="Arial"/>
                <w:color w:val="201F1E"/>
              </w:rPr>
              <w:t xml:space="preserve"> congruent with the Health and Care Professions Council Standards of Conduct, Performance and Ethics and the Royal College of Occupational Therapists Code of Ethics and Professional Conduct.  </w:t>
            </w:r>
          </w:p>
          <w:p w14:paraId="5FD78636" w14:textId="77777777" w:rsidR="00D704D3" w:rsidRPr="007B41E3" w:rsidRDefault="00D704D3" w:rsidP="007B41E3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</w:p>
          <w:p w14:paraId="0A42B821" w14:textId="531E8100" w:rsidR="002D3EEF" w:rsidRPr="000D48C7" w:rsidRDefault="007B41E3" w:rsidP="007B41E3">
            <w:pPr>
              <w:shd w:val="clear" w:color="auto" w:fill="FFFFFF"/>
              <w:rPr>
                <w:rFonts w:ascii="Arial" w:eastAsia="Times New Roman" w:hAnsi="Arial" w:cs="Arial"/>
                <w:color w:val="201F1E"/>
              </w:rPr>
            </w:pPr>
            <w:r w:rsidRPr="007B41E3">
              <w:rPr>
                <w:rFonts w:ascii="Arial" w:eastAsia="Times New Roman" w:hAnsi="Arial" w:cs="Arial"/>
                <w:color w:val="201F1E"/>
              </w:rPr>
              <w:t>Demonstrate the knowledge and skills required to develop an analytical, reflective and professional approach to implementing safe manual handling</w:t>
            </w:r>
          </w:p>
        </w:tc>
      </w:tr>
      <w:tr w:rsidR="002D3EEF" w:rsidRPr="000D48C7" w14:paraId="34A463E8" w14:textId="3C9E8568" w:rsidTr="00B16E4E">
        <w:tc>
          <w:tcPr>
            <w:tcW w:w="386" w:type="pct"/>
          </w:tcPr>
          <w:p w14:paraId="50044574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lastRenderedPageBreak/>
              <w:t xml:space="preserve">A </w:t>
            </w:r>
          </w:p>
          <w:p w14:paraId="4EE961E2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C</w:t>
            </w:r>
          </w:p>
          <w:p w14:paraId="6A5D06C5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A</w:t>
            </w:r>
          </w:p>
          <w:p w14:paraId="0DD9B472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lastRenderedPageBreak/>
              <w:t>D</w:t>
            </w:r>
          </w:p>
          <w:p w14:paraId="73EC3D12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E</w:t>
            </w:r>
          </w:p>
          <w:p w14:paraId="48EFDC91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M</w:t>
            </w:r>
          </w:p>
          <w:p w14:paraId="34ED786C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I</w:t>
            </w:r>
          </w:p>
          <w:p w14:paraId="1531A798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C</w:t>
            </w:r>
          </w:p>
          <w:p w14:paraId="2CF73C53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</w:p>
          <w:p w14:paraId="23D20848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SKILLS</w:t>
            </w:r>
          </w:p>
          <w:p w14:paraId="4B947A9D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</w:p>
        </w:tc>
        <w:tc>
          <w:tcPr>
            <w:tcW w:w="769" w:type="pct"/>
          </w:tcPr>
          <w:p w14:paraId="315D6A4C" w14:textId="77777777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lastRenderedPageBreak/>
              <w:t xml:space="preserve">Independent thinking and </w:t>
            </w:r>
            <w:r w:rsidRPr="000D48C7">
              <w:rPr>
                <w:rFonts w:ascii="Arial" w:hAnsi="Arial" w:cs="Arial"/>
              </w:rPr>
              <w:lastRenderedPageBreak/>
              <w:t xml:space="preserve">participation in class </w:t>
            </w:r>
          </w:p>
          <w:p w14:paraId="67C3B5C8" w14:textId="77777777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Reflecting on own bias and prejudice </w:t>
            </w:r>
          </w:p>
          <w:p w14:paraId="5A21A122" w14:textId="77777777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Active learning in workshops </w:t>
            </w:r>
          </w:p>
          <w:p w14:paraId="572F6945" w14:textId="77777777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 Reading academic texts</w:t>
            </w:r>
          </w:p>
          <w:p w14:paraId="50E666B0" w14:textId="77777777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>Engagement in Q&amp;A board</w:t>
            </w:r>
          </w:p>
          <w:p w14:paraId="31FE59FC" w14:textId="77777777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Independent learning </w:t>
            </w:r>
          </w:p>
          <w:p w14:paraId="0801115F" w14:textId="05CEEF8B" w:rsidR="002D3EEF" w:rsidRPr="000D48C7" w:rsidRDefault="002D3EEF" w:rsidP="00616D1E">
            <w:pPr>
              <w:shd w:val="clear" w:color="auto" w:fill="FFFFFF"/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Small group learning </w:t>
            </w:r>
          </w:p>
        </w:tc>
        <w:tc>
          <w:tcPr>
            <w:tcW w:w="769" w:type="pct"/>
          </w:tcPr>
          <w:p w14:paraId="1A30A551" w14:textId="37851846" w:rsidR="002D3EEF" w:rsidRPr="000D48C7" w:rsidRDefault="002D3EEF" w:rsidP="00616D1E">
            <w:pPr>
              <w:shd w:val="clear" w:color="auto" w:fill="FFFFFF"/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lastRenderedPageBreak/>
              <w:t>Reflection</w:t>
            </w:r>
          </w:p>
          <w:p w14:paraId="7041B0E6" w14:textId="46CC5F64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Good scholarship </w:t>
            </w:r>
          </w:p>
          <w:p w14:paraId="75E679A4" w14:textId="4C07CB65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 xml:space="preserve">Active learning </w:t>
            </w:r>
          </w:p>
          <w:p w14:paraId="43D230FF" w14:textId="1FD9ABF5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lastRenderedPageBreak/>
              <w:t>Digital literacy</w:t>
            </w:r>
          </w:p>
          <w:p w14:paraId="7CA693BE" w14:textId="18337C79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Literature searching</w:t>
            </w:r>
          </w:p>
          <w:p w14:paraId="51B6FD08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Professionalism,</w:t>
            </w:r>
          </w:p>
          <w:p w14:paraId="281EE7B6" w14:textId="29744803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Safe use of a variety of online media.</w:t>
            </w:r>
            <w:r w:rsidRPr="000D48C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FB55E8" w14:textId="3025F3D3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eop"/>
                <w:rFonts w:ascii="Arial" w:hAnsi="Arial" w:cs="Arial"/>
                <w:sz w:val="22"/>
                <w:szCs w:val="22"/>
              </w:rPr>
              <w:t>Plagiarism &amp; referencing</w:t>
            </w:r>
          </w:p>
          <w:p w14:paraId="14D3B792" w14:textId="63C1CBD3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eop"/>
                <w:rFonts w:ascii="Arial" w:hAnsi="Arial" w:cs="Arial"/>
                <w:sz w:val="22"/>
                <w:szCs w:val="22"/>
              </w:rPr>
              <w:t xml:space="preserve">Academic writing skills </w:t>
            </w:r>
          </w:p>
          <w:p w14:paraId="5742C474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</w:tcPr>
          <w:p w14:paraId="7E8B0545" w14:textId="5EF83DA2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lastRenderedPageBreak/>
              <w:t xml:space="preserve">Critical thinking and appraisal skills are part of </w:t>
            </w:r>
            <w:r w:rsidRPr="000D48C7">
              <w:rPr>
                <w:rFonts w:ascii="Arial" w:hAnsi="Arial" w:cs="Arial"/>
              </w:rPr>
              <w:lastRenderedPageBreak/>
              <w:t>the module. Development of both encouraged through critical approach to literature, development of skills for debate and evaluation of references in support of summative viva voce and conceptual essay.</w:t>
            </w:r>
          </w:p>
        </w:tc>
        <w:tc>
          <w:tcPr>
            <w:tcW w:w="769" w:type="pct"/>
          </w:tcPr>
          <w:p w14:paraId="23C0C077" w14:textId="74C3353C" w:rsidR="002D3EEF" w:rsidRPr="000D48C7" w:rsidRDefault="002D3EEF" w:rsidP="00616D1E">
            <w:pPr>
              <w:shd w:val="clear" w:color="auto" w:fill="FFFFFF"/>
              <w:rPr>
                <w:rFonts w:ascii="Arial" w:hAnsi="Arial" w:cs="Arial"/>
              </w:rPr>
            </w:pPr>
            <w:r w:rsidRPr="000D48C7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 xml:space="preserve">Critical thinking and appraisal are key to module. </w:t>
            </w:r>
            <w:r w:rsidRPr="000D48C7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 xml:space="preserve">Critical reading key to the assignment (focused on appraising an article) but also using literature to inform conclusions is heavily stressed throughout. </w:t>
            </w:r>
          </w:p>
        </w:tc>
        <w:tc>
          <w:tcPr>
            <w:tcW w:w="769" w:type="pct"/>
          </w:tcPr>
          <w:p w14:paraId="6E399913" w14:textId="170C51CE" w:rsidR="002D3EEF" w:rsidRPr="000D48C7" w:rsidRDefault="007A7E76" w:rsidP="00616D1E">
            <w:pPr>
              <w:shd w:val="clear" w:color="auto" w:fill="FFFFFF"/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 xml:space="preserve">Developing critical reflexive skills and critical </w:t>
            </w:r>
            <w:r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 xml:space="preserve">thinking required to make informed decisions about the ‘best’ approach to the occupational therapy process. Development primarily through active learning workshops and </w:t>
            </w:r>
            <w:r w:rsidR="006C0CE4">
              <w:rPr>
                <w:rFonts w:ascii="Arial" w:eastAsia="Times New Roman" w:hAnsi="Arial" w:cs="Arial"/>
                <w:bdr w:val="none" w:sz="0" w:space="0" w:color="auto" w:frame="1"/>
              </w:rPr>
              <w:t xml:space="preserve">critical writing skill development. </w:t>
            </w:r>
          </w:p>
        </w:tc>
        <w:tc>
          <w:tcPr>
            <w:tcW w:w="769" w:type="pct"/>
          </w:tcPr>
          <w:p w14:paraId="64D3F852" w14:textId="77777777" w:rsidR="002D3EEF" w:rsidRDefault="00D704D3" w:rsidP="00616D1E">
            <w:pPr>
              <w:shd w:val="clear" w:color="auto" w:fill="FFFFFF"/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>Active learning</w:t>
            </w:r>
          </w:p>
          <w:p w14:paraId="76875874" w14:textId="77777777" w:rsidR="00D704D3" w:rsidRDefault="00D704D3" w:rsidP="00616D1E">
            <w:pPr>
              <w:shd w:val="clear" w:color="auto" w:fill="FFFFFF"/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t>Professionalism</w:t>
            </w:r>
          </w:p>
          <w:p w14:paraId="0A054FFA" w14:textId="1D8D943A" w:rsidR="00D704D3" w:rsidRDefault="00D704D3" w:rsidP="00616D1E">
            <w:pPr>
              <w:shd w:val="clear" w:color="auto" w:fill="FFFFFF"/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>Reflecting on own strengths and areas for development</w:t>
            </w:r>
          </w:p>
          <w:p w14:paraId="5B7C2D44" w14:textId="792B03AA" w:rsidR="00D704D3" w:rsidRDefault="00725E16" w:rsidP="00616D1E">
            <w:pPr>
              <w:shd w:val="clear" w:color="auto" w:fill="FFFFFF"/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t>Small group learning</w:t>
            </w:r>
          </w:p>
          <w:p w14:paraId="2870CDB2" w14:textId="3140478A" w:rsidR="00D704D3" w:rsidRPr="000D48C7" w:rsidRDefault="00D704D3" w:rsidP="00616D1E">
            <w:pPr>
              <w:shd w:val="clear" w:color="auto" w:fill="FFFFFF"/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t xml:space="preserve"> </w:t>
            </w:r>
          </w:p>
        </w:tc>
      </w:tr>
      <w:tr w:rsidR="002D3EEF" w:rsidRPr="000D48C7" w14:paraId="661D4036" w14:textId="0A8FFED5" w:rsidTr="00B16E4E">
        <w:tc>
          <w:tcPr>
            <w:tcW w:w="386" w:type="pct"/>
          </w:tcPr>
          <w:p w14:paraId="21998A7C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lastRenderedPageBreak/>
              <w:t>A</w:t>
            </w:r>
          </w:p>
          <w:p w14:paraId="1A626A4D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S</w:t>
            </w:r>
          </w:p>
          <w:p w14:paraId="4C94C8BD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S</w:t>
            </w:r>
          </w:p>
          <w:p w14:paraId="02E5E06B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E</w:t>
            </w:r>
          </w:p>
          <w:p w14:paraId="47DF0F9C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S</w:t>
            </w:r>
          </w:p>
          <w:p w14:paraId="5366A9FE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S</w:t>
            </w:r>
          </w:p>
          <w:p w14:paraId="24944958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M</w:t>
            </w:r>
          </w:p>
          <w:p w14:paraId="67CE872A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E</w:t>
            </w:r>
          </w:p>
          <w:p w14:paraId="79243A0F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N</w:t>
            </w:r>
          </w:p>
          <w:p w14:paraId="7DD44F8D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  <w:t>T</w:t>
            </w:r>
          </w:p>
        </w:tc>
        <w:tc>
          <w:tcPr>
            <w:tcW w:w="769" w:type="pct"/>
          </w:tcPr>
          <w:p w14:paraId="5366E30A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Formative: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D20D63E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Self-evaluation of professional behaviour </w:t>
            </w:r>
          </w:p>
          <w:p w14:paraId="5FC7D9AB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>Multiple Choice Question (MCQ) examinations in e-learning modules, quizzes</w:t>
            </w:r>
          </w:p>
          <w:p w14:paraId="10F66A76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Peer, and staff feedforward feedback in relation to professional skills </w:t>
            </w:r>
          </w:p>
          <w:p w14:paraId="585EF593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Group presentations oral defence of </w:t>
            </w: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lastRenderedPageBreak/>
              <w:t xml:space="preserve">conceptualisation of case scenarios  </w:t>
            </w:r>
          </w:p>
          <w:p w14:paraId="4DFFF7E5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Student discussion posts to Hub module area </w:t>
            </w:r>
          </w:p>
          <w:p w14:paraId="6FD5F0D1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D847FF4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Summative:</w:t>
            </w:r>
            <w:r w:rsidRPr="000D48C7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F2DA18F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2 hr open text examination Weighting 100%</w:t>
            </w:r>
          </w:p>
          <w:p w14:paraId="341E0FFD" w14:textId="77777777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</w:rPr>
            </w:pPr>
          </w:p>
        </w:tc>
        <w:tc>
          <w:tcPr>
            <w:tcW w:w="769" w:type="pct"/>
          </w:tcPr>
          <w:p w14:paraId="54FCC909" w14:textId="2C04181E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1F3864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/>
                <w:color w:val="000000" w:themeColor="text1"/>
                <w:bdr w:val="none" w:sz="0" w:space="0" w:color="auto" w:frame="1"/>
              </w:rPr>
              <w:lastRenderedPageBreak/>
              <w:t>Formative:</w:t>
            </w:r>
          </w:p>
          <w:p w14:paraId="1AFB8DBB" w14:textId="0864E749" w:rsidR="002D3EEF" w:rsidRPr="000D48C7" w:rsidRDefault="002D3EEF" w:rsidP="00616D1E">
            <w:pPr>
              <w:shd w:val="clear" w:color="auto" w:fill="FFFFFF"/>
              <w:rPr>
                <w:rStyle w:val="normaltextrun"/>
                <w:rFonts w:ascii="Arial" w:hAnsi="Arial" w:cs="Arial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lang w:val="en-GB"/>
              </w:rPr>
              <w:t>Presentation of occupation</w:t>
            </w:r>
          </w:p>
          <w:p w14:paraId="10FFB078" w14:textId="6E357659" w:rsidR="002D3EEF" w:rsidRPr="000D48C7" w:rsidRDefault="002D3EEF" w:rsidP="00616D1E">
            <w:pPr>
              <w:shd w:val="clear" w:color="auto" w:fill="FFFFFF"/>
              <w:rPr>
                <w:rStyle w:val="normaltextrun"/>
                <w:rFonts w:ascii="Arial" w:hAnsi="Arial" w:cs="Arial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lang w:val="en-GB"/>
              </w:rPr>
              <w:t>Reflective workbook on occupation</w:t>
            </w:r>
          </w:p>
          <w:p w14:paraId="0C233A7A" w14:textId="2003BB54" w:rsidR="002D3EEF" w:rsidRPr="000D48C7" w:rsidRDefault="002D3EEF" w:rsidP="00616D1E">
            <w:pPr>
              <w:shd w:val="clear" w:color="auto" w:fill="FFFFFF"/>
              <w:rPr>
                <w:rStyle w:val="normaltextrun"/>
                <w:rFonts w:ascii="Arial" w:hAnsi="Arial" w:cs="Arial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lang w:val="en-GB"/>
              </w:rPr>
              <w:t xml:space="preserve">Feedback from staff and peers on learning activities </w:t>
            </w:r>
          </w:p>
          <w:p w14:paraId="0FAD730C" w14:textId="77777777" w:rsidR="002D3EEF" w:rsidRPr="000D48C7" w:rsidRDefault="002D3EEF" w:rsidP="00616D1E">
            <w:pPr>
              <w:shd w:val="clear" w:color="auto" w:fill="FFFFFF"/>
              <w:rPr>
                <w:rStyle w:val="normaltextrun"/>
                <w:rFonts w:ascii="Arial" w:hAnsi="Arial" w:cs="Arial"/>
                <w:lang w:val="en-GB"/>
              </w:rPr>
            </w:pPr>
          </w:p>
          <w:p w14:paraId="6F8DA840" w14:textId="463165B6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  <w:b/>
                <w:color w:val="201F1E"/>
              </w:rPr>
            </w:pPr>
            <w:r w:rsidRPr="000D48C7">
              <w:rPr>
                <w:rStyle w:val="normaltextrun"/>
                <w:rFonts w:ascii="Arial" w:hAnsi="Arial" w:cs="Arial"/>
                <w:b/>
                <w:lang w:val="en-GB"/>
              </w:rPr>
              <w:t xml:space="preserve">Summative </w:t>
            </w:r>
          </w:p>
          <w:p w14:paraId="2DB6525C" w14:textId="6052D163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</w:pPr>
            <w:r w:rsidRPr="000D48C7">
              <w:rPr>
                <w:rStyle w:val="normaltextrun"/>
                <w:rFonts w:ascii="Arial" w:hAnsi="Arial" w:cs="Arial"/>
                <w:sz w:val="22"/>
                <w:szCs w:val="22"/>
                <w:lang w:val="en-GB"/>
              </w:rPr>
              <w:t>1500 word essay reflecting on occupation</w:t>
            </w:r>
          </w:p>
          <w:p w14:paraId="02CE63AC" w14:textId="77777777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0B93F02" w14:textId="46DCF3B3" w:rsidR="002D3EEF" w:rsidRPr="000D48C7" w:rsidRDefault="002D3EEF" w:rsidP="00616D1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" w:type="pct"/>
          </w:tcPr>
          <w:p w14:paraId="0D5D4199" w14:textId="77777777" w:rsidR="002D3EEF" w:rsidRPr="000D48C7" w:rsidRDefault="002D3EEF" w:rsidP="00616D1E">
            <w:pPr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  <w:b/>
              </w:rPr>
              <w:t>Formative</w:t>
            </w:r>
            <w:r w:rsidRPr="000D48C7">
              <w:rPr>
                <w:rFonts w:ascii="Arial" w:hAnsi="Arial" w:cs="Arial"/>
              </w:rPr>
              <w:t>:</w:t>
            </w:r>
          </w:p>
          <w:p w14:paraId="34BFE43B" w14:textId="77777777" w:rsidR="002D3EEF" w:rsidRPr="000D48C7" w:rsidRDefault="002D3EEF" w:rsidP="00616D1E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>MCQ examinations in e-learning modules</w:t>
            </w:r>
          </w:p>
          <w:p w14:paraId="0E434AEA" w14:textId="77777777" w:rsidR="002D3EEF" w:rsidRPr="000D48C7" w:rsidRDefault="002D3EEF" w:rsidP="00616D1E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>group debate</w:t>
            </w:r>
          </w:p>
          <w:p w14:paraId="1D0AC413" w14:textId="3B85921E" w:rsidR="002D3EEF" w:rsidRPr="000D48C7" w:rsidRDefault="002D3EEF" w:rsidP="00616D1E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>facilitated small group discussions</w:t>
            </w:r>
          </w:p>
          <w:p w14:paraId="4110DEA6" w14:textId="77777777" w:rsidR="002D3EEF" w:rsidRPr="000D48C7" w:rsidRDefault="002D3EEF" w:rsidP="00616D1E">
            <w:pPr>
              <w:rPr>
                <w:rFonts w:ascii="Arial" w:hAnsi="Arial" w:cs="Arial"/>
              </w:rPr>
            </w:pPr>
          </w:p>
          <w:p w14:paraId="26DFF3E1" w14:textId="77777777" w:rsidR="002D3EEF" w:rsidRPr="000D48C7" w:rsidRDefault="002D3EEF" w:rsidP="00616D1E">
            <w:pPr>
              <w:rPr>
                <w:rFonts w:ascii="Arial" w:hAnsi="Arial" w:cs="Arial"/>
                <w:b/>
              </w:rPr>
            </w:pPr>
            <w:r w:rsidRPr="000D48C7">
              <w:rPr>
                <w:rFonts w:ascii="Arial" w:hAnsi="Arial" w:cs="Arial"/>
                <w:b/>
              </w:rPr>
              <w:t>Summative:</w:t>
            </w:r>
          </w:p>
          <w:p w14:paraId="22ABFFFE" w14:textId="13E97E6A" w:rsidR="002D3EEF" w:rsidRPr="000D48C7" w:rsidRDefault="002D3EEF" w:rsidP="00616D1E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t xml:space="preserve">2,000 word scenario-based </w:t>
            </w:r>
            <w:proofErr w:type="spellStart"/>
            <w:r w:rsidRPr="000D48C7">
              <w:rPr>
                <w:rFonts w:ascii="Arial" w:hAnsi="Arial" w:cs="Arial"/>
              </w:rPr>
              <w:t>conceptualisation</w:t>
            </w:r>
            <w:proofErr w:type="spellEnd"/>
            <w:r w:rsidRPr="000D48C7">
              <w:rPr>
                <w:rFonts w:ascii="Arial" w:hAnsi="Arial" w:cs="Arial"/>
              </w:rPr>
              <w:t xml:space="preserve"> </w:t>
            </w:r>
          </w:p>
          <w:p w14:paraId="2FE054CD" w14:textId="46424B52" w:rsidR="002D3EEF" w:rsidRPr="000D48C7" w:rsidRDefault="002D3EEF" w:rsidP="00616D1E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</w:rPr>
            </w:pPr>
            <w:r w:rsidRPr="000D48C7">
              <w:rPr>
                <w:rFonts w:ascii="Arial" w:hAnsi="Arial" w:cs="Arial"/>
              </w:rPr>
              <w:lastRenderedPageBreak/>
              <w:t xml:space="preserve">individual 10 minute viva voce </w:t>
            </w:r>
          </w:p>
        </w:tc>
        <w:tc>
          <w:tcPr>
            <w:tcW w:w="769" w:type="pct"/>
          </w:tcPr>
          <w:p w14:paraId="65EB235D" w14:textId="7FDE407F" w:rsidR="002D3EEF" w:rsidRPr="000D48C7" w:rsidRDefault="002D3EEF" w:rsidP="00616D1E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  <w:r w:rsidRPr="000D48C7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 xml:space="preserve">Formative – fillable word form submitted to the Hub detailing are of interest, literature search, choice of paper to be used in summative assignment and initial reading of methods. </w:t>
            </w:r>
          </w:p>
          <w:p w14:paraId="08B88FC3" w14:textId="0C5D322A" w:rsidR="002D3EEF" w:rsidRPr="000D48C7" w:rsidRDefault="002D3EEF" w:rsidP="00616D1E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0D48C7">
              <w:rPr>
                <w:rFonts w:ascii="Arial" w:eastAsia="Times New Roman" w:hAnsi="Arial" w:cs="Arial"/>
                <w:bdr w:val="none" w:sz="0" w:space="0" w:color="auto" w:frame="1"/>
              </w:rPr>
              <w:t xml:space="preserve">Summative – responses to written questions focused on competing a </w:t>
            </w:r>
            <w:r w:rsidRPr="000D48C7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 xml:space="preserve">critical appraisal of a peer-reviewed research paper. </w:t>
            </w:r>
          </w:p>
          <w:p w14:paraId="39E6CB97" w14:textId="54EEBD90" w:rsidR="002D3EEF" w:rsidRPr="000D48C7" w:rsidRDefault="002D3EEF" w:rsidP="00616D1E">
            <w:pPr>
              <w:rPr>
                <w:rFonts w:ascii="Arial" w:hAnsi="Arial" w:cs="Arial"/>
              </w:rPr>
            </w:pPr>
          </w:p>
        </w:tc>
        <w:tc>
          <w:tcPr>
            <w:tcW w:w="769" w:type="pct"/>
          </w:tcPr>
          <w:p w14:paraId="4846D27F" w14:textId="77777777" w:rsidR="002D3EEF" w:rsidRDefault="00782D12" w:rsidP="00616D1E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>Formative:</w:t>
            </w:r>
          </w:p>
          <w:p w14:paraId="6A1C4D1C" w14:textId="77777777" w:rsidR="00782D12" w:rsidRDefault="00782D12" w:rsidP="00616D1E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40624CF2" w14:textId="0ACAFB01" w:rsidR="00782D12" w:rsidRDefault="00782D12" w:rsidP="00782D12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t xml:space="preserve">-Mock </w:t>
            </w:r>
            <w:proofErr w:type="spellStart"/>
            <w:r>
              <w:rPr>
                <w:rFonts w:ascii="Arial" w:eastAsia="Times New Roman" w:hAnsi="Arial" w:cs="Arial"/>
                <w:bdr w:val="none" w:sz="0" w:space="0" w:color="auto" w:frame="1"/>
              </w:rPr>
              <w:t>vivas</w:t>
            </w:r>
            <w:proofErr w:type="spellEnd"/>
            <w:r>
              <w:rPr>
                <w:rFonts w:ascii="Arial" w:eastAsia="Times New Roman" w:hAnsi="Arial" w:cs="Arial"/>
                <w:bdr w:val="none" w:sz="0" w:space="0" w:color="auto" w:frame="1"/>
              </w:rPr>
              <w:t xml:space="preserve"> practicing assessment, goal-setting</w:t>
            </w:r>
            <w:r w:rsidR="007A7E76">
              <w:rPr>
                <w:rFonts w:ascii="Arial" w:eastAsia="Times New Roman" w:hAnsi="Arial" w:cs="Arial"/>
                <w:bdr w:val="none" w:sz="0" w:space="0" w:color="auto" w:frame="1"/>
              </w:rPr>
              <w:t>,</w:t>
            </w:r>
            <w:r>
              <w:rPr>
                <w:rFonts w:ascii="Arial" w:eastAsia="Times New Roman" w:hAnsi="Arial" w:cs="Arial"/>
                <w:bdr w:val="none" w:sz="0" w:space="0" w:color="auto" w:frame="1"/>
              </w:rPr>
              <w:t xml:space="preserve"> intervention</w:t>
            </w:r>
            <w:r w:rsidR="007A7E76">
              <w:rPr>
                <w:rFonts w:ascii="Arial" w:eastAsia="Times New Roman" w:hAnsi="Arial" w:cs="Arial"/>
                <w:bdr w:val="none" w:sz="0" w:space="0" w:color="auto" w:frame="1"/>
              </w:rPr>
              <w:t xml:space="preserve"> and evaluation.</w:t>
            </w:r>
          </w:p>
          <w:p w14:paraId="1917989C" w14:textId="77777777" w:rsidR="00782D12" w:rsidRDefault="00782D12" w:rsidP="00782D12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7C30825B" w14:textId="77777777" w:rsidR="00782D12" w:rsidRDefault="00782D12" w:rsidP="00782D12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t>Summative:</w:t>
            </w:r>
          </w:p>
          <w:p w14:paraId="36821679" w14:textId="77777777" w:rsidR="00782D12" w:rsidRDefault="00782D12" w:rsidP="00782D12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</w:p>
          <w:p w14:paraId="17BA139E" w14:textId="77777777" w:rsidR="00782D12" w:rsidRDefault="00782D12" w:rsidP="00782D12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t>-Viva voce (50%)</w:t>
            </w:r>
          </w:p>
          <w:p w14:paraId="0164FD13" w14:textId="22593AB7" w:rsidR="00782D12" w:rsidRPr="00782D12" w:rsidRDefault="00782D12" w:rsidP="00782D12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bdr w:val="none" w:sz="0" w:space="0" w:color="auto" w:frame="1"/>
              </w:rPr>
              <w:t xml:space="preserve">-Essay </w:t>
            </w:r>
            <w:r w:rsidR="007A7E76">
              <w:rPr>
                <w:rFonts w:ascii="Arial" w:eastAsia="Times New Roman" w:hAnsi="Arial" w:cs="Arial"/>
                <w:bdr w:val="none" w:sz="0" w:space="0" w:color="auto" w:frame="1"/>
              </w:rPr>
              <w:t xml:space="preserve">to critically consider potential assessment and intervention processes in </w:t>
            </w:r>
            <w:r w:rsidR="007A7E76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 xml:space="preserve">context of a community-orientated case study. </w:t>
            </w:r>
          </w:p>
        </w:tc>
        <w:tc>
          <w:tcPr>
            <w:tcW w:w="769" w:type="pct"/>
          </w:tcPr>
          <w:p w14:paraId="512FEAB3" w14:textId="03D6D9C8" w:rsidR="002D3EEF" w:rsidRPr="000D48C7" w:rsidRDefault="00725E16" w:rsidP="00616D1E">
            <w:pPr>
              <w:rPr>
                <w:rFonts w:ascii="Arial" w:eastAsia="Times New Roman" w:hAnsi="Arial" w:cs="Arial"/>
                <w:bdr w:val="none" w:sz="0" w:space="0" w:color="auto" w:frame="1"/>
              </w:rPr>
            </w:pPr>
            <w:r w:rsidRPr="00725E16">
              <w:rPr>
                <w:rFonts w:ascii="Arial" w:eastAsia="Times New Roman" w:hAnsi="Arial" w:cs="Arial"/>
                <w:bdr w:val="none" w:sz="0" w:space="0" w:color="auto" w:frame="1"/>
              </w:rPr>
              <w:lastRenderedPageBreak/>
              <w:t>Practice Education Passport</w:t>
            </w:r>
            <w:r>
              <w:rPr>
                <w:rFonts w:ascii="Arial" w:eastAsia="Times New Roman" w:hAnsi="Arial" w:cs="Arial"/>
                <w:bdr w:val="none" w:sz="0" w:space="0" w:color="auto" w:frame="1"/>
              </w:rPr>
              <w:t xml:space="preserve"> – pass/ fail grade </w:t>
            </w:r>
          </w:p>
        </w:tc>
      </w:tr>
    </w:tbl>
    <w:bookmarkEnd w:id="0"/>
    <w:p w14:paraId="6B34EFED" w14:textId="77777777" w:rsidR="00413248" w:rsidRPr="000D48C7" w:rsidRDefault="00413248" w:rsidP="00616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</w:rPr>
      </w:pPr>
      <w:r w:rsidRPr="000D48C7">
        <w:rPr>
          <w:rFonts w:ascii="Arial" w:eastAsia="Times New Roman" w:hAnsi="Arial" w:cs="Arial"/>
          <w:color w:val="1F3864"/>
          <w:bdr w:val="none" w:sz="0" w:space="0" w:color="auto" w:frame="1"/>
        </w:rPr>
        <w:t> </w:t>
      </w:r>
    </w:p>
    <w:p w14:paraId="68E54610" w14:textId="77777777" w:rsidR="00413248" w:rsidRPr="000D48C7" w:rsidRDefault="00413248" w:rsidP="00616D1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01F1E"/>
        </w:rPr>
      </w:pPr>
      <w:r w:rsidRPr="000D48C7">
        <w:rPr>
          <w:rFonts w:ascii="Arial" w:eastAsia="Times New Roman" w:hAnsi="Arial" w:cs="Arial"/>
          <w:color w:val="1F3864"/>
          <w:bdr w:val="none" w:sz="0" w:space="0" w:color="auto" w:frame="1"/>
        </w:rPr>
        <w:t> </w:t>
      </w:r>
    </w:p>
    <w:p w14:paraId="3EBDD477" w14:textId="77777777" w:rsidR="00413248" w:rsidRPr="000D48C7" w:rsidRDefault="00413248" w:rsidP="00616D1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01F1E"/>
        </w:rPr>
      </w:pPr>
    </w:p>
    <w:p w14:paraId="07BB7096" w14:textId="28DEFC82" w:rsidR="0035259B" w:rsidRPr="000D48C7" w:rsidRDefault="00413248" w:rsidP="00616D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0D48C7">
        <w:rPr>
          <w:rFonts w:ascii="Arial" w:hAnsi="Arial" w:cs="Arial"/>
          <w:color w:val="1F3864"/>
          <w:sz w:val="22"/>
          <w:szCs w:val="22"/>
          <w:bdr w:val="none" w:sz="0" w:space="0" w:color="auto" w:frame="1"/>
        </w:rPr>
        <w:t> </w:t>
      </w:r>
    </w:p>
    <w:p w14:paraId="3CDAE35D" w14:textId="3EDF90DF" w:rsidR="0035259B" w:rsidRPr="000D48C7" w:rsidRDefault="0035259B" w:rsidP="00616D1E">
      <w:pPr>
        <w:pStyle w:val="paragraph"/>
        <w:spacing w:before="0" w:beforeAutospacing="0" w:after="0" w:afterAutospacing="0"/>
        <w:ind w:left="315"/>
        <w:textAlignment w:val="baseline"/>
        <w:rPr>
          <w:rFonts w:ascii="Arial" w:hAnsi="Arial" w:cs="Arial"/>
          <w:sz w:val="22"/>
          <w:szCs w:val="22"/>
        </w:rPr>
      </w:pPr>
      <w:r w:rsidRPr="000D48C7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</w:p>
    <w:p w14:paraId="34513B75" w14:textId="77777777" w:rsidR="0035259B" w:rsidRPr="000D48C7" w:rsidRDefault="0035259B" w:rsidP="00616D1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0D48C7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sectPr w:rsidR="0035259B" w:rsidRPr="000D48C7" w:rsidSect="004132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163"/>
    <w:multiLevelType w:val="multilevel"/>
    <w:tmpl w:val="82B28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D2D96"/>
    <w:multiLevelType w:val="hybridMultilevel"/>
    <w:tmpl w:val="FFFFFFFF"/>
    <w:lvl w:ilvl="0" w:tplc="423A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41F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FC0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6A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A6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C07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68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04D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07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6FC"/>
    <w:multiLevelType w:val="hybridMultilevel"/>
    <w:tmpl w:val="FFFFFFFF"/>
    <w:lvl w:ilvl="0" w:tplc="1E7CF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E2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6CB5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8E1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64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A4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6D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40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C8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04A3"/>
    <w:multiLevelType w:val="hybridMultilevel"/>
    <w:tmpl w:val="17A68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67DA4"/>
    <w:multiLevelType w:val="hybridMultilevel"/>
    <w:tmpl w:val="ACD61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0486"/>
    <w:multiLevelType w:val="multilevel"/>
    <w:tmpl w:val="53369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343FC8"/>
    <w:multiLevelType w:val="hybridMultilevel"/>
    <w:tmpl w:val="87843C8C"/>
    <w:lvl w:ilvl="0" w:tplc="1B281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5DDE"/>
    <w:multiLevelType w:val="hybridMultilevel"/>
    <w:tmpl w:val="A912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87E96"/>
    <w:multiLevelType w:val="hybridMultilevel"/>
    <w:tmpl w:val="4540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E06F6"/>
    <w:multiLevelType w:val="multilevel"/>
    <w:tmpl w:val="8C8E8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7509F"/>
    <w:multiLevelType w:val="multilevel"/>
    <w:tmpl w:val="6492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D292D"/>
    <w:multiLevelType w:val="hybridMultilevel"/>
    <w:tmpl w:val="CF38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1592"/>
    <w:multiLevelType w:val="multilevel"/>
    <w:tmpl w:val="7EDE9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D77F6"/>
    <w:multiLevelType w:val="multilevel"/>
    <w:tmpl w:val="B884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B421D5"/>
    <w:multiLevelType w:val="multilevel"/>
    <w:tmpl w:val="5B040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35283A"/>
    <w:multiLevelType w:val="hybridMultilevel"/>
    <w:tmpl w:val="062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01417"/>
    <w:multiLevelType w:val="multilevel"/>
    <w:tmpl w:val="B55AC5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EE6012"/>
    <w:multiLevelType w:val="hybridMultilevel"/>
    <w:tmpl w:val="A5EE1866"/>
    <w:lvl w:ilvl="0" w:tplc="6C902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279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A6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A0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23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6C8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22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0A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C0A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24555"/>
    <w:multiLevelType w:val="multilevel"/>
    <w:tmpl w:val="34FE6E4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F44667"/>
    <w:multiLevelType w:val="hybridMultilevel"/>
    <w:tmpl w:val="E1867ABA"/>
    <w:lvl w:ilvl="0" w:tplc="9A80B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9"/>
  </w:num>
  <w:num w:numId="7">
    <w:abstractNumId w:val="5"/>
  </w:num>
  <w:num w:numId="8">
    <w:abstractNumId w:val="13"/>
  </w:num>
  <w:num w:numId="9">
    <w:abstractNumId w:val="18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11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48"/>
    <w:rsid w:val="00024472"/>
    <w:rsid w:val="000569F6"/>
    <w:rsid w:val="000819BB"/>
    <w:rsid w:val="000D48C7"/>
    <w:rsid w:val="001A24AA"/>
    <w:rsid w:val="001E6392"/>
    <w:rsid w:val="002D3EEF"/>
    <w:rsid w:val="0035259B"/>
    <w:rsid w:val="0036030B"/>
    <w:rsid w:val="00413248"/>
    <w:rsid w:val="00473D4D"/>
    <w:rsid w:val="004C6D96"/>
    <w:rsid w:val="00551867"/>
    <w:rsid w:val="00616D1E"/>
    <w:rsid w:val="006A59D6"/>
    <w:rsid w:val="006C0CE4"/>
    <w:rsid w:val="00725E16"/>
    <w:rsid w:val="00782D12"/>
    <w:rsid w:val="007A7E76"/>
    <w:rsid w:val="007B41E3"/>
    <w:rsid w:val="007E5B57"/>
    <w:rsid w:val="00804539"/>
    <w:rsid w:val="00826734"/>
    <w:rsid w:val="00934BBD"/>
    <w:rsid w:val="00A46499"/>
    <w:rsid w:val="00A60019"/>
    <w:rsid w:val="00A67655"/>
    <w:rsid w:val="00AF1772"/>
    <w:rsid w:val="00AF65DF"/>
    <w:rsid w:val="00AF6C75"/>
    <w:rsid w:val="00B06FB6"/>
    <w:rsid w:val="00B10B6B"/>
    <w:rsid w:val="00B16E4E"/>
    <w:rsid w:val="00B65CE3"/>
    <w:rsid w:val="00C333B2"/>
    <w:rsid w:val="00C64C94"/>
    <w:rsid w:val="00CB3C1A"/>
    <w:rsid w:val="00CF3EF4"/>
    <w:rsid w:val="00D704D3"/>
    <w:rsid w:val="00DF5C6E"/>
    <w:rsid w:val="00E03444"/>
    <w:rsid w:val="00E85724"/>
    <w:rsid w:val="00F61645"/>
    <w:rsid w:val="00FB56AE"/>
    <w:rsid w:val="00FC6DCA"/>
    <w:rsid w:val="00FF3E9A"/>
    <w:rsid w:val="08D7552F"/>
    <w:rsid w:val="0A732590"/>
    <w:rsid w:val="0C0EF5F1"/>
    <w:rsid w:val="0C23E67C"/>
    <w:rsid w:val="2B60DF5D"/>
    <w:rsid w:val="3AFB4839"/>
    <w:rsid w:val="3E8AB439"/>
    <w:rsid w:val="597A8495"/>
    <w:rsid w:val="760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34271"/>
  <w15:chartTrackingRefBased/>
  <w15:docId w15:val="{042D52FD-6338-41BC-ABD3-1622664E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5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5259B"/>
  </w:style>
  <w:style w:type="character" w:customStyle="1" w:styleId="eop">
    <w:name w:val="eop"/>
    <w:basedOn w:val="DefaultParagraphFont"/>
    <w:rsid w:val="0035259B"/>
  </w:style>
  <w:style w:type="character" w:customStyle="1" w:styleId="tabchar">
    <w:name w:val="tabchar"/>
    <w:basedOn w:val="DefaultParagraphFont"/>
    <w:rsid w:val="0035259B"/>
  </w:style>
  <w:style w:type="paragraph" w:styleId="ListParagraph">
    <w:name w:val="List Paragraph"/>
    <w:basedOn w:val="Normal"/>
    <w:uiPriority w:val="34"/>
    <w:qFormat/>
    <w:rsid w:val="00024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98F2F6BFAC24185F5A6CB676EC74B" ma:contentTypeVersion="16" ma:contentTypeDescription="Create a new document." ma:contentTypeScope="" ma:versionID="e9c3e2a7d1034238f1e9ccca46f31f3a">
  <xsd:schema xmlns:xsd="http://www.w3.org/2001/XMLSchema" xmlns:xs="http://www.w3.org/2001/XMLSchema" xmlns:p="http://schemas.microsoft.com/office/2006/metadata/properties" xmlns:ns1="http://schemas.microsoft.com/sharepoint/v3" xmlns:ns3="691af0fe-8c0f-45aa-8af3-24645c1efcbe" xmlns:ns4="031bfe72-e9a3-4f10-ab21-f9bd10e419d8" targetNamespace="http://schemas.microsoft.com/office/2006/metadata/properties" ma:root="true" ma:fieldsID="430315822c9d17dabde0ad6722c2f8b6" ns1:_="" ns3:_="" ns4:_="">
    <xsd:import namespace="http://schemas.microsoft.com/sharepoint/v3"/>
    <xsd:import namespace="691af0fe-8c0f-45aa-8af3-24645c1efcbe"/>
    <xsd:import namespace="031bfe72-e9a3-4f10-ab21-f9bd10e41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af0fe-8c0f-45aa-8af3-24645c1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bfe72-e9a3-4f10-ab21-f9bd10e41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68291-6FC3-4914-87F5-931045FB618B}">
  <ds:schemaRefs>
    <ds:schemaRef ds:uri="http://schemas.openxmlformats.org/package/2006/metadata/core-properties"/>
    <ds:schemaRef ds:uri="691af0fe-8c0f-45aa-8af3-24645c1efcbe"/>
    <ds:schemaRef ds:uri="http://purl.org/dc/terms/"/>
    <ds:schemaRef ds:uri="031bfe72-e9a3-4f10-ab21-f9bd10e419d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067CCD-5AE3-456E-9F60-6CFC4D256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1af0fe-8c0f-45aa-8af3-24645c1efcbe"/>
    <ds:schemaRef ds:uri="031bfe72-e9a3-4f10-ab21-f9bd10e41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598268-9764-44DE-9957-21187483B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Margaret University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Janine</dc:creator>
  <cp:keywords/>
  <dc:description/>
  <cp:lastModifiedBy>Duncan, Xanthe</cp:lastModifiedBy>
  <cp:revision>3</cp:revision>
  <dcterms:created xsi:type="dcterms:W3CDTF">2022-09-22T12:28:00Z</dcterms:created>
  <dcterms:modified xsi:type="dcterms:W3CDTF">2022-12-12T10:43:00Z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0x010100BF698F2F6BFAC24185F5A6CB676EC74B</vt:lpwstr>
  </property>
</Properties>
</file>